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6" w:rsidRPr="000B7801" w:rsidRDefault="00283316" w:rsidP="00283316">
      <w:pPr>
        <w:shd w:val="clear" w:color="auto" w:fill="FFFFFF"/>
        <w:spacing w:before="300" w:after="150" w:line="240" w:lineRule="auto"/>
        <w:ind w:firstLine="0"/>
        <w:jc w:val="left"/>
        <w:outlineLvl w:val="0"/>
        <w:rPr>
          <w:rFonts w:ascii="FiraCons-Medium" w:eastAsia="Times New Roman" w:hAnsi="FiraCons-Medium" w:cs="Times New Roman"/>
          <w:b/>
          <w:bCs/>
          <w:color w:val="000000" w:themeColor="text1"/>
          <w:kern w:val="36"/>
          <w:lang w:val="it-IT" w:eastAsia="en-GB"/>
        </w:rPr>
      </w:pPr>
      <w:bookmarkStart w:id="0" w:name="_GoBack"/>
      <w:bookmarkEnd w:id="0"/>
      <w:r w:rsidRPr="000B7801">
        <w:rPr>
          <w:rFonts w:ascii="FiraCons-Medium" w:eastAsia="Times New Roman" w:hAnsi="FiraCons-Medium" w:cs="Times New Roman"/>
          <w:b/>
          <w:bCs/>
          <w:color w:val="000000" w:themeColor="text1"/>
          <w:kern w:val="36"/>
          <w:lang w:val="it-IT" w:eastAsia="en-GB"/>
        </w:rPr>
        <w:t>IL CODICE EUROPEO DI CONDOTTA PER IL RECLUTAMENTO DEI RICERCATORI</w:t>
      </w:r>
    </w:p>
    <w:p w:rsidR="00283316" w:rsidRPr="00BF4591" w:rsidRDefault="00283316" w:rsidP="00283316">
      <w:pPr>
        <w:shd w:val="clear" w:color="auto" w:fill="FFFFFF"/>
        <w:spacing w:before="300" w:after="150" w:line="240" w:lineRule="auto"/>
        <w:ind w:firstLine="0"/>
        <w:outlineLvl w:val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 xml:space="preserve">Per contribuire allo sviluppo dello Spazio europeo della ricerca (SER), la Commissione europea nel 2005 ha istituito la Carta europea dei ricercatori e il Codice di condotta europeo per il reclutamento dei ricercatori (Carta e Codice) </w:t>
      </w:r>
    </w:p>
    <w:p w:rsidR="00283316" w:rsidRPr="00BF4591" w:rsidRDefault="00283316" w:rsidP="00283316">
      <w:pPr>
        <w:shd w:val="clear" w:color="auto" w:fill="FFFFFF"/>
        <w:spacing w:before="300" w:after="150" w:line="240" w:lineRule="auto"/>
        <w:ind w:firstLine="0"/>
        <w:outlineLvl w:val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La Carta e il Codice garantiscono un “reclutamento” aperto, trasparente, basato sul merito dei ricercatori, e salvaguardano le buone condizioni di lavoro concentrandosi sullo sviluppo professionale dei ricercatori in tutte le fasi della loro carriera. Viene sottolineata</w:t>
      </w:r>
      <w:r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 xml:space="preserve"> </w:t>
      </w: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inoltre l'importanza di riconoscere e valorizzare la mobilità della ricerca, a livello internazionale, intersettoriale e interdisciplinare.</w:t>
      </w:r>
    </w:p>
    <w:p w:rsidR="00283316" w:rsidRPr="00BF4591" w:rsidRDefault="00283316" w:rsidP="00283316">
      <w:pPr>
        <w:shd w:val="clear" w:color="auto" w:fill="FFFFFF"/>
        <w:spacing w:before="300" w:after="150" w:line="240" w:lineRule="auto"/>
        <w:ind w:firstLine="0"/>
        <w:jc w:val="left"/>
        <w:outlineLvl w:val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Carta e Codice sono regolamentati da 40 princ</w:t>
      </w:r>
      <w:r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ì</w:t>
      </w: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pi raggruppati nelle seguenti aree principali:</w:t>
      </w:r>
    </w:p>
    <w:p w:rsidR="00283316" w:rsidRPr="00BF4591" w:rsidRDefault="00283316" w:rsidP="00283316">
      <w:pPr>
        <w:shd w:val="clear" w:color="auto" w:fill="FFFFFF"/>
        <w:spacing w:before="300" w:after="150" w:line="240" w:lineRule="auto"/>
        <w:ind w:firstLine="0"/>
        <w:jc w:val="left"/>
        <w:outlineLvl w:val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Aspetti etici e professionali</w:t>
      </w:r>
    </w:p>
    <w:p w:rsidR="00283316" w:rsidRPr="00BF4591" w:rsidRDefault="00283316" w:rsidP="00283316">
      <w:pPr>
        <w:shd w:val="clear" w:color="auto" w:fill="FFFFFF"/>
        <w:spacing w:before="300" w:after="150" w:line="240" w:lineRule="auto"/>
        <w:ind w:firstLine="0"/>
        <w:jc w:val="left"/>
        <w:outlineLvl w:val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Reclutamento e selezione</w:t>
      </w:r>
    </w:p>
    <w:p w:rsidR="00283316" w:rsidRPr="00BF4591" w:rsidRDefault="00283316" w:rsidP="00283316">
      <w:pPr>
        <w:shd w:val="clear" w:color="auto" w:fill="FFFFFF"/>
        <w:spacing w:before="300" w:after="150" w:line="240" w:lineRule="auto"/>
        <w:ind w:firstLine="0"/>
        <w:jc w:val="left"/>
        <w:outlineLvl w:val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Condizioni di lavoro e sicurezza sociale</w:t>
      </w:r>
    </w:p>
    <w:p w:rsidR="00283316" w:rsidRPr="00FD4E0A" w:rsidRDefault="00283316" w:rsidP="00283316">
      <w:pPr>
        <w:shd w:val="clear" w:color="auto" w:fill="FFFFFF"/>
        <w:spacing w:before="300" w:after="150" w:line="240" w:lineRule="auto"/>
        <w:ind w:firstLine="0"/>
        <w:jc w:val="left"/>
        <w:outlineLvl w:val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FD4E0A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Formazione e sviluppo</w:t>
      </w:r>
    </w:p>
    <w:p w:rsidR="00283316" w:rsidRPr="00FD4E0A" w:rsidRDefault="00283316" w:rsidP="00283316">
      <w:pPr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</w:p>
    <w:p w:rsidR="00283316" w:rsidRPr="00320AE8" w:rsidRDefault="00283316" w:rsidP="00283316">
      <w:pPr>
        <w:ind w:firstLine="0"/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</w:pP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L'Università di Palermo è stata tra le prime università europee firmatarie dell'adesione alla Carta Europea dei Ricercatori e al Codice di Condotta per il Reclutamento d</w:t>
      </w:r>
      <w:r w:rsidR="00BD3662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 xml:space="preserve">ei Ricercatori </w:t>
      </w:r>
      <w:r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come testimonia i</w:t>
      </w:r>
      <w:r w:rsidRPr="00BF4591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l suo lungo impegno nello sviluppo dell'eccellenza della ricerca attraverso gli investimenti nel capitale umano</w:t>
      </w:r>
      <w:r w:rsidRPr="00320AE8">
        <w:rPr>
          <w:rFonts w:ascii="FiraCons-Medium" w:eastAsia="Times New Roman" w:hAnsi="FiraCons-Medium" w:cs="Times New Roman"/>
          <w:color w:val="000000" w:themeColor="text1"/>
          <w:kern w:val="36"/>
          <w:lang w:val="it-IT" w:eastAsia="en-GB"/>
        </w:rPr>
        <w:t>.</w:t>
      </w:r>
    </w:p>
    <w:p w:rsidR="00283316" w:rsidRDefault="00283316" w:rsidP="00283316">
      <w:pPr>
        <w:ind w:firstLine="0"/>
        <w:rPr>
          <w:rFonts w:ascii="FiraCons-Medium" w:eastAsia="Times New Roman" w:hAnsi="FiraCons-Medium" w:cs="Times New Roman"/>
          <w:b/>
          <w:bCs/>
          <w:color w:val="000000" w:themeColor="text1"/>
          <w:kern w:val="36"/>
          <w:lang w:val="it-IT" w:eastAsia="en-GB"/>
        </w:rPr>
      </w:pPr>
    </w:p>
    <w:sectPr w:rsidR="0028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raCons-Medi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6"/>
    <w:rsid w:val="00283316"/>
    <w:rsid w:val="007C3DE4"/>
    <w:rsid w:val="008942E3"/>
    <w:rsid w:val="00A27666"/>
    <w:rsid w:val="00B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316"/>
    <w:pPr>
      <w:spacing w:after="0"/>
      <w:ind w:firstLine="425"/>
      <w:jc w:val="both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316"/>
    <w:pPr>
      <w:spacing w:after="0"/>
      <w:ind w:firstLine="425"/>
      <w:jc w:val="both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C.AnnaMaria</dc:creator>
  <cp:lastModifiedBy>C.AnnaMaria</cp:lastModifiedBy>
  <cp:revision>4</cp:revision>
  <dcterms:created xsi:type="dcterms:W3CDTF">2022-06-14T07:52:00Z</dcterms:created>
  <dcterms:modified xsi:type="dcterms:W3CDTF">2022-06-14T09:50:00Z</dcterms:modified>
</cp:coreProperties>
</file>