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Prof.ssa Annalisa Marchese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Laboratorio di genetica per la tutela dell’agrobiodiversità e per il miglioramento genetico di specie di interesse agrario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Scuola coinvolta: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Scuole secondarie di secondo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15-18; da concordare con la scuola aderente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</w:t>
        <w:tab/>
        <w:t xml:space="preserve">Fare esperienza di didattica disciplinare attiva, partecipativa e laboratoriale, orientata alla metodologia di apprendimento al metodo scientifico.</w:t>
      </w:r>
    </w:p>
    <w:p w:rsidR="00000000" w:rsidDel="00000000" w:rsidP="00000000" w:rsidRDefault="00000000" w:rsidRPr="00000000" w14:paraId="0000001D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</w:t>
        <w:tab/>
        <w:t xml:space="preserve">Acquisire competenze scientifiche al fine di favorire l’orientamento universitario degli studenti della scuola secondaria.</w:t>
      </w:r>
    </w:p>
    <w:p w:rsidR="00000000" w:rsidDel="00000000" w:rsidP="00000000" w:rsidRDefault="00000000" w:rsidRPr="00000000" w14:paraId="0000001E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Programma/Percorso: </w:t>
      </w:r>
      <w:r w:rsidDel="00000000" w:rsidR="00000000" w:rsidRPr="00000000">
        <w:rPr>
          <w:sz w:val="24"/>
          <w:szCs w:val="24"/>
          <w:rtl w:val="0"/>
        </w:rPr>
        <w:t xml:space="preserve">01/02/2023</w:t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30/04/2023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Laboratori e aule del Dipartimento Scienze Agrarie, Alimentari e Forestali (SAAF), Università di Palermo. Viale delle Scienze, Edificio 4, ingresso B. CAP 90128, Palermo</w:t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consta di un ciclo di seminari interattivi, presentazioni casi di ricerca sulla conservazione della biodiversità e sul miglioramento genetico di specie mediterranee di interesse agrario e paesaggistico attività di laboratorio di biologia molecolare e genetica (estrazione acidi nucleici, quantificazione, amplificazione marcatori molecolari mediante PCR, elettroforesi capillare, sequenziamento, tecniche di emasculazione e incrocio controllato).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Obiettivo - </w:t>
      </w:r>
      <w:r w:rsidDel="00000000" w:rsidR="00000000" w:rsidRPr="00000000">
        <w:rPr>
          <w:sz w:val="24"/>
          <w:szCs w:val="24"/>
          <w:rtl w:val="0"/>
        </w:rPr>
        <w:t xml:space="preserve">La finalità è quella di informare gli studenti sull’innovazione scientifica e tecnologica nell’ambito della Genetica agraria, trattando temi che vanno dalla conservazione della biodiversità vegetale all’utilizzo delle risorse genetiche ai fini del miglioramento genetico per superare emergenze parassitarie e cambiamenti climatici. Lo scopo è fornire agli studenti gli strumenti e le conoscenze necessarie per avvicinarsi ad alcune professioni richieste dal mercato del lavoro in ambito agrario, nel breeding e nell’ambito delle biotecnologie agrarie.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2570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2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57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8000" cy="9080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HcEYIiiYlMeyubPK9aeZw2efA==">AMUW2mWS+1ezKTOin6UsQg2Gp0C+LGtOi3NyQQFE2UiHJb6BjfHd6aDy7Tp46bZpuLb0Yw29/vanlDrojFgV+kNdsQoHZIBnaYxWnSbLvj79BWaDo9RtKQM=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2023-01-10T10:55:00Z</dcterms:created>
  <dc:creator>Caterina</dc:creator>
</cp:coreProperties>
</file>