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Santo Orlando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Applicazione di droni nell’era digitale per l’agricoltura 4.0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Scuola coinvolta: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Scuole secondarie di secondo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Consolidare competenze riflessive e trasversali per la costruzione del progetto di sviluppo formativo e professionale.</w:t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17/04/2023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21/04/2023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Laboratorio di Agricoltura di Precisione - Dipartimento Scienze Agrarie, Alimentari e Forestali (SAAF), Università di Palermo. Viale delle Scienze, Edificio 5,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Pianificazione di voli con drone dotato di camera multispettrale per la costruzione di mappe di vigore delle principali colture del bacino mediterraneo. Elaborazione dati con software specifici e costruzione di mappe di prescrizione per la distribuzione in campo dei fattori produttivi in modo spazialmente variabile. 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2570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57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8000" cy="9080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qC1xRwLU2WY0SZl1ARnUrXhFA==">AMUW2mVpfI8XE59BfRPAa49ohDx9ma1j83/k3myRuCXe3PQi4+PmQI3edChI0gdeo/nHf5Irobu+vrEdb/gqInp37P8ciJEYi320ktIJEZ2xYtHepLAtn/o=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2023-01-10T10:55:00Z</dcterms:created>
  <dc:creator>Caterina</dc:creator>
</cp:coreProperties>
</file>