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74D5" w14:textId="240075D7" w:rsidR="00D7785A" w:rsidRPr="0055719B" w:rsidRDefault="001C131E" w:rsidP="0055719B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b/>
        </w:rPr>
        <w:t>OGGETTO</w:t>
      </w:r>
      <w:r w:rsidRPr="009D4DB1">
        <w:rPr>
          <w:b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7785A" w:rsidRPr="00D7785A" w14:paraId="0899DF52" w14:textId="77777777" w:rsidTr="00D778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EFE0C" w14:textId="77777777" w:rsidR="00D7785A" w:rsidRPr="00D7785A" w:rsidRDefault="00D7785A" w:rsidP="00D7785A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A54F723" w14:textId="466536AC" w:rsidR="00D7785A" w:rsidRPr="00D7785A" w:rsidRDefault="00D7785A" w:rsidP="00D7785A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954364E" w14:textId="65EC6E33" w:rsidR="001C131E" w:rsidRPr="007D5F75" w:rsidRDefault="001C131E" w:rsidP="007D5F75">
      <w:pPr>
        <w:pStyle w:val="Default"/>
        <w:jc w:val="both"/>
        <w:rPr>
          <w:b/>
        </w:rPr>
      </w:pPr>
    </w:p>
    <w:p w14:paraId="32B19BAE" w14:textId="77777777" w:rsidR="00457953" w:rsidRDefault="00457953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</w:p>
    <w:p w14:paraId="62AE3BAC" w14:textId="77777777"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14:paraId="5134310A" w14:textId="77777777"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5A4A3AA0" w14:textId="77777777"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87AA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14:paraId="6CB7FED6" w14:textId="77777777"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14:paraId="69B85B77" w14:textId="77777777" w:rsidR="000C61F1" w:rsidRPr="00820E53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vedere </w:t>
      </w:r>
      <w:r w:rsidR="000C61F1"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="000C61F1" w:rsidRPr="00820E53">
        <w:rPr>
          <w:rFonts w:asciiTheme="minorHAnsi" w:hAnsiTheme="minorHAnsi" w:cstheme="minorHAnsi"/>
          <w:sz w:val="22"/>
          <w:szCs w:val="22"/>
        </w:rPr>
        <w:t>1)</w:t>
      </w:r>
    </w:p>
    <w:p w14:paraId="6099CAA8" w14:textId="77777777"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</w:t>
      </w:r>
      <w:r w:rsidR="006C74E0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Pr="00820E53">
        <w:rPr>
          <w:rFonts w:asciiTheme="minorHAnsi" w:hAnsiTheme="minorHAnsi" w:cstheme="minorHAnsi"/>
          <w:i/>
          <w:sz w:val="22"/>
          <w:szCs w:val="22"/>
        </w:rPr>
        <w:t>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1873"/>
      </w:tblGrid>
      <w:tr w:rsidR="006C74E0" w:rsidRPr="006C74E0" w14:paraId="623D5D74" w14:textId="77777777" w:rsidTr="006C74E0">
        <w:tc>
          <w:tcPr>
            <w:tcW w:w="1955" w:type="dxa"/>
          </w:tcPr>
          <w:p w14:paraId="0700747D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14:paraId="378190A4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</w:tcPr>
          <w:p w14:paraId="0096A405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</w:tcPr>
          <w:p w14:paraId="2E1F0F63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</w:tcPr>
          <w:p w14:paraId="789E0BF3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14:paraId="3C8430D4" w14:textId="77777777" w:rsidTr="006C74E0">
        <w:tc>
          <w:tcPr>
            <w:tcW w:w="1955" w:type="dxa"/>
          </w:tcPr>
          <w:p w14:paraId="67370A3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9019CD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443AB94B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1BE35AB3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7C1B4071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700BB122" w14:textId="77777777" w:rsidTr="006C74E0">
        <w:tc>
          <w:tcPr>
            <w:tcW w:w="1955" w:type="dxa"/>
          </w:tcPr>
          <w:p w14:paraId="3651FF92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2C6539E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0D828422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6313B483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0601043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69061CAC" w14:textId="77777777" w:rsidTr="006C74E0">
        <w:tc>
          <w:tcPr>
            <w:tcW w:w="1955" w:type="dxa"/>
          </w:tcPr>
          <w:p w14:paraId="0B97488F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C75C4F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2D0BAF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3725E8E7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4464C5D4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40567D17" w14:textId="77777777" w:rsidTr="006C74E0">
        <w:tc>
          <w:tcPr>
            <w:tcW w:w="1955" w:type="dxa"/>
          </w:tcPr>
          <w:p w14:paraId="2A86D757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1FFEAD1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21E00EF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2BAB1F0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5ED22EB3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14:paraId="5109C30E" w14:textId="77777777" w:rsidR="006C74E0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</w:p>
    <w:p w14:paraId="7E8CD8E8" w14:textId="77777777"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14:paraId="7C6A40E7" w14:textId="77777777"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1348CB3E" w14:textId="40C473D0"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 xml:space="preserve">elencate </w:t>
      </w:r>
      <w:r w:rsidRPr="00820E53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</w:t>
      </w:r>
      <w:r w:rsidR="00573197">
        <w:rPr>
          <w:rFonts w:asciiTheme="minorHAnsi" w:hAnsiTheme="minorHAnsi" w:cstheme="minorHAnsi"/>
          <w:sz w:val="22"/>
          <w:szCs w:val="22"/>
        </w:rPr>
        <w:t>36</w:t>
      </w:r>
      <w:r w:rsidR="006C44C5">
        <w:rPr>
          <w:rFonts w:asciiTheme="minorHAnsi" w:hAnsiTheme="minorHAnsi" w:cstheme="minorHAnsi"/>
          <w:sz w:val="22"/>
          <w:szCs w:val="22"/>
        </w:rPr>
        <w:t>/20</w:t>
      </w:r>
      <w:r w:rsidR="00573197">
        <w:rPr>
          <w:rFonts w:asciiTheme="minorHAnsi" w:hAnsiTheme="minorHAnsi" w:cstheme="minorHAnsi"/>
          <w:sz w:val="22"/>
          <w:szCs w:val="22"/>
        </w:rPr>
        <w:t>23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14:paraId="6AA9BD99" w14:textId="77777777"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CDB79A4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AD640FF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8886E38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4F956A6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C7E0541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99C7E7C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AD15DD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322CAFAE" w14:textId="77777777"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14:paraId="775C6B5E" w14:textId="77777777"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14:paraId="2F8FE817" w14:textId="1AE04C10"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E34">
        <w:rPr>
          <w:rFonts w:asciiTheme="minorHAnsi" w:hAnsiTheme="minorHAnsi" w:cstheme="minorHAnsi"/>
          <w:sz w:val="22"/>
          <w:szCs w:val="22"/>
        </w:rPr>
        <w:t>________</w:t>
      </w:r>
      <w:r w:rsidRPr="00B65151">
        <w:rPr>
          <w:rFonts w:asciiTheme="minorHAnsi" w:hAnsiTheme="minorHAnsi" w:cstheme="minorHAnsi"/>
          <w:sz w:val="22"/>
          <w:szCs w:val="22"/>
        </w:rPr>
        <w:t>________</w:t>
      </w:r>
    </w:p>
    <w:p w14:paraId="3EC78668" w14:textId="77777777"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077C2BA3" w14:textId="77777777"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14:paraId="41A2B640" w14:textId="77777777"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14:paraId="1A368B45" w14:textId="700CABF5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</w:t>
      </w:r>
      <w:r w:rsidR="00831E34">
        <w:rPr>
          <w:rFonts w:asciiTheme="minorHAnsi" w:hAnsiTheme="minorHAnsi" w:cstheme="minorHAnsi"/>
          <w:sz w:val="22"/>
          <w:szCs w:val="22"/>
        </w:rPr>
        <w:t>_______________</w:t>
      </w:r>
      <w:r w:rsidRPr="004416C2">
        <w:rPr>
          <w:rFonts w:asciiTheme="minorHAnsi" w:hAnsiTheme="minorHAnsi" w:cstheme="minorHAnsi"/>
          <w:sz w:val="22"/>
          <w:szCs w:val="22"/>
        </w:rPr>
        <w:t>___;</w:t>
      </w:r>
    </w:p>
    <w:p w14:paraId="39899DA0" w14:textId="312DCD9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</w:t>
      </w:r>
      <w:r w:rsidR="00831E34">
        <w:rPr>
          <w:rFonts w:asciiTheme="minorHAnsi" w:hAnsiTheme="minorHAnsi" w:cstheme="minorHAnsi"/>
          <w:sz w:val="22"/>
          <w:szCs w:val="22"/>
        </w:rPr>
        <w:t>______________</w:t>
      </w:r>
      <w:r w:rsidRPr="004416C2">
        <w:rPr>
          <w:rFonts w:asciiTheme="minorHAnsi" w:hAnsiTheme="minorHAnsi" w:cstheme="minorHAnsi"/>
          <w:sz w:val="22"/>
          <w:szCs w:val="22"/>
        </w:rPr>
        <w:t>______;</w:t>
      </w:r>
    </w:p>
    <w:p w14:paraId="6F70C882" w14:textId="4534EFCC"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</w:t>
      </w:r>
      <w:r w:rsidR="00831E34">
        <w:rPr>
          <w:rFonts w:asciiTheme="minorHAnsi" w:hAnsiTheme="minorHAnsi" w:cstheme="minorHAnsi"/>
          <w:sz w:val="22"/>
          <w:szCs w:val="22"/>
        </w:rPr>
        <w:t>___________</w:t>
      </w:r>
      <w:r w:rsidRPr="004416C2">
        <w:rPr>
          <w:rFonts w:asciiTheme="minorHAnsi" w:hAnsiTheme="minorHAnsi" w:cstheme="minorHAnsi"/>
          <w:sz w:val="22"/>
          <w:szCs w:val="22"/>
        </w:rPr>
        <w:t>____________;</w:t>
      </w:r>
    </w:p>
    <w:p w14:paraId="54C904B5" w14:textId="77777777"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14:paraId="3EC679BB" w14:textId="77777777"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14:paraId="5F38DCF0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14:paraId="2380D382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14:paraId="203EE06B" w14:textId="38446E07"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 xml:space="preserve">Lgs. n. </w:t>
      </w:r>
      <w:r w:rsidR="003C0B72">
        <w:rPr>
          <w:rFonts w:asciiTheme="minorHAnsi" w:hAnsiTheme="minorHAnsi" w:cstheme="minorHAnsi"/>
          <w:sz w:val="22"/>
          <w:szCs w:val="22"/>
        </w:rPr>
        <w:t>36</w:t>
      </w:r>
      <w:r w:rsidRPr="002758CE">
        <w:rPr>
          <w:rFonts w:asciiTheme="minorHAnsi" w:hAnsiTheme="minorHAnsi" w:cstheme="minorHAnsi"/>
          <w:sz w:val="22"/>
          <w:szCs w:val="22"/>
        </w:rPr>
        <w:t>/20</w:t>
      </w:r>
      <w:r w:rsidR="003C0B72">
        <w:rPr>
          <w:rFonts w:asciiTheme="minorHAnsi" w:hAnsiTheme="minorHAnsi" w:cstheme="minorHAnsi"/>
          <w:sz w:val="22"/>
          <w:szCs w:val="22"/>
        </w:rPr>
        <w:t>23</w:t>
      </w:r>
      <w:r w:rsidRPr="002758CE">
        <w:rPr>
          <w:rFonts w:asciiTheme="minorHAnsi" w:hAnsiTheme="minorHAnsi" w:cstheme="minorHAnsi"/>
          <w:sz w:val="22"/>
          <w:szCs w:val="22"/>
        </w:rPr>
        <w:t>, non diversamente risolvibile;</w:t>
      </w:r>
    </w:p>
    <w:p w14:paraId="27343992" w14:textId="77777777"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14:paraId="19916192" w14:textId="77777777"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14:paraId="7958D51C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5FF4806A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1EF5C6B" w14:textId="77777777"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14:paraId="16B93CA8" w14:textId="77777777"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14:paraId="5B58ACF5" w14:textId="7A4CF914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</w:t>
      </w:r>
      <w:r w:rsidR="00831E34">
        <w:rPr>
          <w:rFonts w:asciiTheme="minorHAnsi" w:hAnsiTheme="minorHAnsi" w:cstheme="minorHAnsi"/>
          <w:sz w:val="22"/>
          <w:szCs w:val="22"/>
        </w:rPr>
        <w:t>_____________________</w:t>
      </w:r>
      <w:r w:rsidRPr="008E4E38">
        <w:rPr>
          <w:rFonts w:asciiTheme="minorHAnsi" w:hAnsiTheme="minorHAnsi" w:cstheme="minorHAnsi"/>
          <w:sz w:val="22"/>
          <w:szCs w:val="22"/>
        </w:rPr>
        <w:t>________________di ___</w:t>
      </w:r>
      <w:r w:rsidR="00831E34">
        <w:rPr>
          <w:rFonts w:asciiTheme="minorHAnsi" w:hAnsiTheme="minorHAnsi" w:cstheme="minorHAnsi"/>
          <w:sz w:val="22"/>
          <w:szCs w:val="22"/>
        </w:rPr>
        <w:t>_________</w:t>
      </w:r>
      <w:r w:rsidRPr="008E4E38">
        <w:rPr>
          <w:rFonts w:asciiTheme="minorHAnsi" w:hAnsiTheme="minorHAnsi" w:cstheme="minorHAnsi"/>
          <w:sz w:val="22"/>
          <w:szCs w:val="22"/>
        </w:rPr>
        <w:t>______________, Via _____________</w:t>
      </w:r>
      <w:r w:rsidR="00831E34">
        <w:rPr>
          <w:rFonts w:asciiTheme="minorHAnsi" w:hAnsiTheme="minorHAnsi" w:cstheme="minorHAnsi"/>
          <w:sz w:val="22"/>
          <w:szCs w:val="22"/>
        </w:rPr>
        <w:t>___________</w:t>
      </w:r>
      <w:r w:rsidRPr="008E4E38">
        <w:rPr>
          <w:rFonts w:asciiTheme="minorHAnsi" w:hAnsiTheme="minorHAnsi" w:cstheme="minorHAnsi"/>
          <w:sz w:val="22"/>
          <w:szCs w:val="22"/>
        </w:rPr>
        <w:t>___________n. ___________  fax _</w:t>
      </w:r>
      <w:r w:rsidR="00831E34">
        <w:rPr>
          <w:rFonts w:asciiTheme="minorHAnsi" w:hAnsiTheme="minorHAnsi" w:cstheme="minorHAnsi"/>
          <w:sz w:val="22"/>
          <w:szCs w:val="22"/>
        </w:rPr>
        <w:t>____________</w:t>
      </w:r>
      <w:r w:rsidRPr="008E4E38">
        <w:rPr>
          <w:rFonts w:asciiTheme="minorHAnsi" w:hAnsiTheme="minorHAnsi" w:cstheme="minorHAnsi"/>
          <w:sz w:val="22"/>
          <w:szCs w:val="22"/>
        </w:rPr>
        <w:t>____________ e-mail ___________________________</w:t>
      </w:r>
      <w:r w:rsidR="00831E34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Pr="008E4E38">
        <w:rPr>
          <w:rFonts w:asciiTheme="minorHAnsi" w:hAnsiTheme="minorHAnsi" w:cstheme="minorHAnsi"/>
          <w:sz w:val="22"/>
          <w:szCs w:val="22"/>
        </w:rPr>
        <w:t>__;</w:t>
      </w:r>
    </w:p>
    <w:p w14:paraId="73F0081F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14:paraId="5A747449" w14:textId="75FC69C0"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31E34">
        <w:rPr>
          <w:rFonts w:asciiTheme="minorHAnsi" w:hAnsiTheme="minorHAnsi" w:cstheme="minorHAnsi"/>
          <w:sz w:val="22"/>
          <w:szCs w:val="22"/>
        </w:rPr>
        <w:t>________</w:t>
      </w:r>
      <w:r w:rsidRPr="008E4E38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09E0B6E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14:paraId="0A295EEB" w14:textId="77777777" w:rsidR="00E816AF" w:rsidRPr="004322C1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14:paraId="702B1CAF" w14:textId="77777777"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40F85212" w14:textId="77777777"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117156FB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14:paraId="442297E0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7E294B28" w14:textId="77777777"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14:paraId="1135351F" w14:textId="77777777"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controllo o la relazione comporti che le offerte sono imputabili ad un unico centro decisionale, e di aver formulato autonomamente l'offerta. </w:t>
      </w:r>
    </w:p>
    <w:p w14:paraId="414395D7" w14:textId="77777777"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58D8400E" w14:textId="77777777"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7B1E48F3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53E199BF" w14:textId="77777777" w:rsidR="00E816AF" w:rsidRDefault="00E816AF" w:rsidP="007A509E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10D41DD0" w14:textId="77777777" w:rsidR="0055095A" w:rsidRPr="00227023" w:rsidRDefault="0055095A" w:rsidP="0055095A">
      <w:pPr>
        <w:pStyle w:val="NormaleWeb"/>
        <w:numPr>
          <w:ilvl w:val="0"/>
          <w:numId w:val="25"/>
        </w:numPr>
        <w:spacing w:before="120"/>
        <w:jc w:val="both"/>
        <w:rPr>
          <w:b/>
          <w:sz w:val="22"/>
          <w:szCs w:val="22"/>
        </w:rPr>
      </w:pPr>
      <w:r w:rsidRPr="00227023">
        <w:rPr>
          <w:sz w:val="22"/>
        </w:rPr>
        <w:t>indica le seguenti posizioni INPS, INAIL, CASSA EDILE</w:t>
      </w:r>
      <w:r w:rsidRPr="00227023">
        <w:rPr>
          <w:b/>
          <w:sz w:val="22"/>
          <w:szCs w:val="22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227023" w:rsidRPr="00227023" w14:paraId="661C3ECC" w14:textId="77777777" w:rsidTr="009C41C6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7DD8" w14:textId="77777777"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93AB" w14:textId="77777777"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FCE8" w14:textId="77777777"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Sede/i</w:t>
            </w:r>
          </w:p>
        </w:tc>
      </w:tr>
      <w:tr w:rsidR="00227023" w:rsidRPr="00227023" w14:paraId="2950B141" w14:textId="77777777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1550" w14:textId="77777777" w:rsidR="00227023" w:rsidRPr="00227023" w:rsidRDefault="00227023" w:rsidP="00F42EBE">
            <w:pPr>
              <w:rPr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BE8" w14:textId="77777777" w:rsidR="00227023" w:rsidRPr="00227023" w:rsidRDefault="00227023" w:rsidP="0021322C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 xml:space="preserve">Matricola </w:t>
            </w:r>
            <w:r w:rsidR="009C41C6">
              <w:rPr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80E" w14:textId="77777777"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D0E" w14:textId="77777777"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</w:tr>
      <w:tr w:rsidR="009C41C6" w:rsidRPr="00227023" w14:paraId="7FAD4B66" w14:textId="77777777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2D0" w14:textId="77777777" w:rsidR="009C41C6" w:rsidRPr="00227023" w:rsidRDefault="009C41C6" w:rsidP="00231DA2">
            <w:pPr>
              <w:rPr>
                <w:b/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1E1" w14:textId="77777777" w:rsidR="009C41C6" w:rsidRPr="00227023" w:rsidRDefault="009C41C6" w:rsidP="0070074A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>Codice Ditta</w:t>
            </w:r>
            <w:r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70B" w14:textId="77777777" w:rsidR="009C41C6" w:rsidRPr="00227023" w:rsidRDefault="009C41C6" w:rsidP="00201950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6D3" w14:textId="77777777" w:rsidR="009C41C6" w:rsidRPr="00227023" w:rsidRDefault="009C41C6" w:rsidP="0020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0BA" w14:textId="77777777" w:rsidR="009C41C6" w:rsidRPr="00227023" w:rsidRDefault="009C41C6" w:rsidP="00231DA2">
            <w:pPr>
              <w:rPr>
                <w:sz w:val="22"/>
                <w:szCs w:val="22"/>
              </w:rPr>
            </w:pPr>
          </w:p>
        </w:tc>
      </w:tr>
      <w:tr w:rsidR="00227023" w:rsidRPr="00227023" w14:paraId="7F37FEBA" w14:textId="77777777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9239" w14:textId="77777777" w:rsidR="00227023" w:rsidRPr="00227023" w:rsidRDefault="00227023" w:rsidP="00231DA2">
            <w:pPr>
              <w:rPr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6C73" w14:textId="77777777" w:rsidR="00227023" w:rsidRPr="00227023" w:rsidRDefault="00227023" w:rsidP="00231DA2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 xml:space="preserve">Codice Impresa </w:t>
            </w:r>
            <w:r w:rsidR="009C41C6">
              <w:rPr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626" w14:textId="77777777"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FDB" w14:textId="77777777"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</w:tr>
    </w:tbl>
    <w:p w14:paraId="2234349C" w14:textId="77777777" w:rsidR="00227023" w:rsidRPr="00227023" w:rsidRDefault="00227023" w:rsidP="00227023">
      <w:pPr>
        <w:widowControl w:val="0"/>
        <w:tabs>
          <w:tab w:val="left" w:pos="1068"/>
          <w:tab w:val="left" w:pos="1272"/>
          <w:tab w:val="left" w:pos="8496"/>
        </w:tabs>
        <w:suppressAutoHyphens/>
        <w:jc w:val="both"/>
        <w:rPr>
          <w:b/>
          <w:spacing w:val="-2"/>
        </w:rPr>
      </w:pPr>
    </w:p>
    <w:p w14:paraId="47D31512" w14:textId="77777777" w:rsidR="00D804D0" w:rsidRPr="00227023" w:rsidRDefault="00930A78" w:rsidP="00227023">
      <w:pPr>
        <w:pStyle w:val="NormaleWeb"/>
        <w:numPr>
          <w:ilvl w:val="0"/>
          <w:numId w:val="25"/>
        </w:numPr>
        <w:spacing w:before="120"/>
        <w:jc w:val="both"/>
        <w:rPr>
          <w:sz w:val="22"/>
        </w:rPr>
      </w:pPr>
      <w:r w:rsidRPr="00227023">
        <w:rPr>
          <w:sz w:val="22"/>
        </w:rPr>
        <w:t xml:space="preserve">Dichiara </w:t>
      </w:r>
      <w:r w:rsidR="0070428B">
        <w:rPr>
          <w:sz w:val="22"/>
        </w:rPr>
        <w:t>sin da ora a</w:t>
      </w:r>
      <w:r w:rsidRPr="00227023">
        <w:rPr>
          <w:sz w:val="22"/>
        </w:rPr>
        <w:t xml:space="preserve"> rendersi </w:t>
      </w:r>
      <w:r w:rsidR="00227023" w:rsidRPr="00227023">
        <w:rPr>
          <w:sz w:val="22"/>
        </w:rPr>
        <w:t xml:space="preserve">immediatamente </w:t>
      </w:r>
      <w:r w:rsidRPr="00227023">
        <w:rPr>
          <w:sz w:val="22"/>
        </w:rPr>
        <w:t>disponibile</w:t>
      </w:r>
      <w:r w:rsidR="0070428B">
        <w:rPr>
          <w:sz w:val="22"/>
        </w:rPr>
        <w:t xml:space="preserve"> </w:t>
      </w:r>
      <w:r w:rsidRPr="00227023">
        <w:rPr>
          <w:sz w:val="22"/>
        </w:rPr>
        <w:t xml:space="preserve">ad eseguire i lavori </w:t>
      </w:r>
      <w:r w:rsidR="00227023" w:rsidRPr="00227023">
        <w:rPr>
          <w:sz w:val="22"/>
        </w:rPr>
        <w:t xml:space="preserve">di cui trattasi </w:t>
      </w:r>
      <w:r w:rsidRPr="00227023">
        <w:rPr>
          <w:sz w:val="22"/>
        </w:rPr>
        <w:t>e comunque nel periodo  ____________</w:t>
      </w:r>
    </w:p>
    <w:p w14:paraId="07DC298F" w14:textId="77777777"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4331A82" w14:textId="77777777"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78CB29C" w14:textId="1FA22272"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</w:t>
      </w:r>
      <w:r w:rsidR="00634BBC">
        <w:rPr>
          <w:rFonts w:asciiTheme="minorHAnsi" w:hAnsiTheme="minorHAnsi" w:cstheme="minorHAnsi"/>
          <w:sz w:val="22"/>
          <w:szCs w:val="22"/>
        </w:rPr>
        <w:t>_________</w:t>
      </w:r>
      <w:r w:rsidRPr="00820E53">
        <w:rPr>
          <w:rFonts w:asciiTheme="minorHAnsi" w:hAnsiTheme="minorHAnsi" w:cstheme="minorHAnsi"/>
          <w:sz w:val="22"/>
          <w:szCs w:val="22"/>
        </w:rPr>
        <w:t xml:space="preserve">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14:paraId="4BACEC27" w14:textId="2A102357" w:rsidR="00224075" w:rsidRPr="00820E53" w:rsidRDefault="00634BBC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F83050"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43EC7A12" w14:textId="77777777"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13DF93" w14:textId="77777777"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14:paraId="2F74FED8" w14:textId="77777777"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16249" w14:textId="77777777"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14:paraId="51045EBD" w14:textId="77777777"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358CB" w14:textId="77777777"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14:paraId="0E623F50" w14:textId="77777777"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14:paraId="6A239230" w14:textId="77777777"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14:paraId="71AC2921" w14:textId="77777777"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14:paraId="74B2D431" w14:textId="77777777"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14:paraId="0B8349B9" w14:textId="77777777"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14:paraId="46B003AA" w14:textId="77777777"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14:paraId="69897935" w14:textId="77777777"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14:paraId="59FBC809" w14:textId="77777777" w:rsidR="004F784C" w:rsidRDefault="004F784C" w:rsidP="004F784C">
      <w:pPr>
        <w:jc w:val="both"/>
        <w:rPr>
          <w:rFonts w:ascii="Calibri" w:hAnsi="Calibri" w:cs="Calibri"/>
        </w:rPr>
      </w:pPr>
      <w:r w:rsidRPr="004322C1">
        <w:rPr>
          <w:rFonts w:ascii="Calibri" w:hAnsi="Calibri" w:cs="Calibri"/>
          <w:u w:val="single"/>
        </w:rPr>
        <w:t xml:space="preserve">Nel caso in cui le predette dichiarazioni vengano rese anche </w:t>
      </w:r>
      <w:r w:rsidR="00C43971" w:rsidRPr="004322C1">
        <w:rPr>
          <w:rFonts w:ascii="Calibri" w:hAnsi="Calibri" w:cs="Calibri"/>
          <w:u w:val="single"/>
        </w:rPr>
        <w:t xml:space="preserve">in </w:t>
      </w:r>
      <w:r w:rsidRPr="004322C1">
        <w:rPr>
          <w:rFonts w:ascii="Calibri" w:hAnsi="Calibri" w:cs="Calibri"/>
          <w:u w:val="single"/>
        </w:rPr>
        <w:t xml:space="preserve">nome e per conto dei sopracitati soggetti, questi ultimi </w:t>
      </w:r>
      <w:r w:rsidRPr="004322C1">
        <w:rPr>
          <w:rFonts w:ascii="Calibri" w:hAnsi="Calibri" w:cs="Calibri"/>
          <w:b/>
          <w:u w:val="single"/>
        </w:rPr>
        <w:t>NON</w:t>
      </w:r>
      <w:r w:rsidRPr="004322C1">
        <w:rPr>
          <w:rFonts w:ascii="Calibri" w:hAnsi="Calibri" w:cs="Calibri"/>
          <w:u w:val="single"/>
        </w:rPr>
        <w:t xml:space="preserve"> sono tenuti ad effettuare le medesime dichiarazioni personalmente</w:t>
      </w:r>
      <w:r w:rsidR="00C43971" w:rsidRPr="004322C1">
        <w:rPr>
          <w:rFonts w:ascii="Calibri" w:hAnsi="Calibri" w:cs="Calibri"/>
          <w:u w:val="single"/>
        </w:rPr>
        <w:t>;</w:t>
      </w:r>
      <w:r w:rsidR="007E4D10" w:rsidRPr="004322C1">
        <w:rPr>
          <w:rFonts w:ascii="Calibri" w:hAnsi="Calibri" w:cs="Calibri"/>
          <w:u w:val="single"/>
        </w:rPr>
        <w:t xml:space="preserve"> viceversa</w:t>
      </w:r>
      <w:r w:rsidR="000460BA" w:rsidRPr="004322C1">
        <w:rPr>
          <w:rFonts w:ascii="Calibri" w:hAnsi="Calibri" w:cs="Calibri"/>
          <w:u w:val="single"/>
        </w:rPr>
        <w:t>,</w:t>
      </w:r>
      <w:r w:rsidR="007E4D10" w:rsidRPr="004322C1">
        <w:rPr>
          <w:rFonts w:ascii="Calibri" w:hAnsi="Calibri" w:cs="Calibri"/>
          <w:u w:val="single"/>
        </w:rPr>
        <w:t xml:space="preserve"> i soggetti elencati nella nota (1) dovranno provvedere autonomamente a</w:t>
      </w:r>
      <w:r w:rsidR="000460BA" w:rsidRPr="004322C1">
        <w:rPr>
          <w:rFonts w:ascii="Calibri" w:hAnsi="Calibri" w:cs="Calibri"/>
          <w:u w:val="single"/>
        </w:rPr>
        <w:t xml:space="preserve"> produrre le proprie</w:t>
      </w:r>
      <w:r w:rsidR="007E4D10" w:rsidRPr="004322C1">
        <w:rPr>
          <w:rFonts w:ascii="Calibri" w:hAnsi="Calibri" w:cs="Calibri"/>
          <w:u w:val="single"/>
        </w:rPr>
        <w:t xml:space="preserve"> autodichiara</w:t>
      </w:r>
      <w:r w:rsidR="000460BA" w:rsidRPr="004322C1">
        <w:rPr>
          <w:rFonts w:ascii="Calibri" w:hAnsi="Calibri" w:cs="Calibri"/>
          <w:u w:val="single"/>
        </w:rPr>
        <w:t>zioni</w:t>
      </w:r>
      <w:r w:rsidRPr="004322C1"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sectPr w:rsidR="004F784C" w:rsidSect="001C653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8261" w14:textId="77777777" w:rsidR="001C653D" w:rsidRDefault="001C653D">
      <w:r>
        <w:separator/>
      </w:r>
    </w:p>
  </w:endnote>
  <w:endnote w:type="continuationSeparator" w:id="0">
    <w:p w14:paraId="6E7FD091" w14:textId="77777777" w:rsidR="001C653D" w:rsidRDefault="001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3333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719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85F024B" w14:textId="77777777"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343D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719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7DCE12" w14:textId="77777777"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02E5" w14:textId="77777777" w:rsidR="001C653D" w:rsidRDefault="001C653D">
      <w:r>
        <w:separator/>
      </w:r>
    </w:p>
  </w:footnote>
  <w:footnote w:type="continuationSeparator" w:id="0">
    <w:p w14:paraId="552EE8BC" w14:textId="77777777" w:rsidR="001C653D" w:rsidRDefault="001C653D">
      <w:r>
        <w:continuationSeparator/>
      </w:r>
    </w:p>
  </w:footnote>
  <w:footnote w:id="1">
    <w:p w14:paraId="26E74FAB" w14:textId="0FE7E50A"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sensi.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 xml:space="preserve">Lgs. n. </w:t>
      </w:r>
      <w:r w:rsidR="003C0B72">
        <w:rPr>
          <w:rFonts w:asciiTheme="minorHAnsi" w:hAnsiTheme="minorHAnsi" w:cstheme="minorHAnsi"/>
        </w:rPr>
        <w:t>36</w:t>
      </w:r>
      <w:r w:rsidRPr="00020DA4">
        <w:rPr>
          <w:rFonts w:asciiTheme="minorHAnsi" w:hAnsiTheme="minorHAnsi" w:cstheme="minorHAnsi"/>
        </w:rPr>
        <w:t>/20</w:t>
      </w:r>
      <w:r w:rsidR="003C0B72">
        <w:rPr>
          <w:rFonts w:asciiTheme="minorHAnsi" w:hAnsiTheme="minorHAnsi" w:cstheme="minorHAnsi"/>
        </w:rPr>
        <w:t>23</w:t>
      </w:r>
      <w:r w:rsidRPr="00020DA4">
        <w:rPr>
          <w:rFonts w:asciiTheme="minorHAnsi" w:hAnsiTheme="minorHAnsi" w:cstheme="minorHAnsi"/>
        </w:rPr>
        <w:t>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12E808B3" w14:textId="77777777"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0ACA" w14:textId="2B1E6658"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proofErr w:type="spellStart"/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>ll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934826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 - Dichiarazione sostitutiva cause di esclusione del D. Lgs. n. </w:t>
    </w:r>
    <w:r w:rsidR="003C0B72">
      <w:rPr>
        <w:rFonts w:asciiTheme="minorHAnsi" w:hAnsiTheme="minorHAnsi" w:cstheme="minorHAnsi"/>
        <w:b/>
      </w:rPr>
      <w:t>36</w:t>
    </w:r>
    <w:r w:rsidR="00721387">
      <w:rPr>
        <w:rFonts w:asciiTheme="minorHAnsi" w:hAnsiTheme="minorHAnsi" w:cstheme="minorHAnsi"/>
        <w:b/>
      </w:rPr>
      <w:t>/2</w:t>
    </w:r>
    <w:r w:rsidRPr="00F70A68">
      <w:rPr>
        <w:rFonts w:asciiTheme="minorHAnsi" w:hAnsiTheme="minorHAnsi" w:cstheme="minorHAnsi"/>
        <w:b/>
      </w:rPr>
      <w:t>0</w:t>
    </w:r>
    <w:r w:rsidR="003C0B72">
      <w:rPr>
        <w:rFonts w:asciiTheme="minorHAnsi" w:hAnsiTheme="minorHAnsi" w:cstheme="minorHAnsi"/>
        <w:b/>
      </w:rPr>
      <w:t>23</w:t>
    </w:r>
    <w:r w:rsidRPr="00F70A68">
      <w:rPr>
        <w:rFonts w:asciiTheme="minorHAnsi" w:hAnsiTheme="minorHAnsi" w:cstheme="minorHAnsi"/>
        <w:b/>
      </w:rPr>
      <w:t xml:space="preserve"> e </w:t>
    </w:r>
    <w:proofErr w:type="spellStart"/>
    <w:r w:rsidRPr="00F70A68">
      <w:rPr>
        <w:rFonts w:asciiTheme="minorHAnsi" w:hAnsiTheme="minorHAnsi" w:cstheme="minorHAnsi"/>
        <w:b/>
      </w:rPr>
      <w:t>s.m.i.</w:t>
    </w:r>
    <w:proofErr w:type="spellEnd"/>
    <w:r w:rsidRPr="00F70A68">
      <w:rPr>
        <w:rFonts w:asciiTheme="minorHAnsi" w:hAnsiTheme="minorHAnsi" w:cstheme="minorHAnsi"/>
        <w:b/>
      </w:rPr>
      <w:t>)</w:t>
    </w:r>
  </w:p>
  <w:p w14:paraId="2DBEB755" w14:textId="77777777"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BE0F" w14:textId="4530AE71" w:rsidR="009D4539" w:rsidRPr="00F70A68" w:rsidRDefault="007007D9" w:rsidP="00457953">
    <w:pPr>
      <w:pStyle w:val="Intestazione"/>
      <w:jc w:val="center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</w:rPr>
      <w:t xml:space="preserve">Dichiarazione sostitutiva cause di esclusione del D. Lgs. n. </w:t>
    </w:r>
    <w:r w:rsidR="003C0B72">
      <w:rPr>
        <w:rFonts w:asciiTheme="minorHAnsi" w:hAnsiTheme="minorHAnsi" w:cstheme="minorHAnsi"/>
        <w:b/>
      </w:rPr>
      <w:t>36</w:t>
    </w:r>
    <w:r w:rsidR="002B6E52">
      <w:rPr>
        <w:rFonts w:asciiTheme="minorHAnsi" w:hAnsiTheme="minorHAnsi" w:cstheme="minorHAnsi"/>
        <w:b/>
      </w:rPr>
      <w:t>/20</w:t>
    </w:r>
    <w:r w:rsidR="003C0B72">
      <w:rPr>
        <w:rFonts w:asciiTheme="minorHAnsi" w:hAnsiTheme="minorHAnsi" w:cstheme="minorHAnsi"/>
        <w:b/>
      </w:rPr>
      <w:t>23</w:t>
    </w:r>
  </w:p>
  <w:p w14:paraId="7C7D2EF2" w14:textId="77777777"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4077">
    <w:abstractNumId w:val="24"/>
  </w:num>
  <w:num w:numId="2" w16cid:durableId="1971666213">
    <w:abstractNumId w:val="22"/>
  </w:num>
  <w:num w:numId="3" w16cid:durableId="1068916896">
    <w:abstractNumId w:val="25"/>
  </w:num>
  <w:num w:numId="4" w16cid:durableId="609360341">
    <w:abstractNumId w:val="2"/>
  </w:num>
  <w:num w:numId="5" w16cid:durableId="583611800">
    <w:abstractNumId w:val="12"/>
  </w:num>
  <w:num w:numId="6" w16cid:durableId="548348359">
    <w:abstractNumId w:val="15"/>
  </w:num>
  <w:num w:numId="7" w16cid:durableId="451704888">
    <w:abstractNumId w:val="27"/>
  </w:num>
  <w:num w:numId="8" w16cid:durableId="1021932753">
    <w:abstractNumId w:val="14"/>
  </w:num>
  <w:num w:numId="9" w16cid:durableId="1079207465">
    <w:abstractNumId w:val="18"/>
  </w:num>
  <w:num w:numId="10" w16cid:durableId="1547444750">
    <w:abstractNumId w:val="17"/>
  </w:num>
  <w:num w:numId="11" w16cid:durableId="792595462">
    <w:abstractNumId w:val="23"/>
  </w:num>
  <w:num w:numId="12" w16cid:durableId="383338874">
    <w:abstractNumId w:val="4"/>
  </w:num>
  <w:num w:numId="13" w16cid:durableId="1618561641">
    <w:abstractNumId w:val="5"/>
  </w:num>
  <w:num w:numId="14" w16cid:durableId="754205664">
    <w:abstractNumId w:val="0"/>
  </w:num>
  <w:num w:numId="15" w16cid:durableId="59983394">
    <w:abstractNumId w:val="13"/>
  </w:num>
  <w:num w:numId="16" w16cid:durableId="1447654663">
    <w:abstractNumId w:val="1"/>
  </w:num>
  <w:num w:numId="17" w16cid:durableId="1180776264">
    <w:abstractNumId w:val="3"/>
  </w:num>
  <w:num w:numId="18" w16cid:durableId="30421016">
    <w:abstractNumId w:val="16"/>
  </w:num>
  <w:num w:numId="19" w16cid:durableId="1248615092">
    <w:abstractNumId w:val="10"/>
  </w:num>
  <w:num w:numId="20" w16cid:durableId="1791506385">
    <w:abstractNumId w:val="20"/>
  </w:num>
  <w:num w:numId="21" w16cid:durableId="1188984739">
    <w:abstractNumId w:val="26"/>
  </w:num>
  <w:num w:numId="22" w16cid:durableId="499741069">
    <w:abstractNumId w:val="8"/>
  </w:num>
  <w:num w:numId="23" w16cid:durableId="97252087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396650">
    <w:abstractNumId w:val="7"/>
  </w:num>
  <w:num w:numId="25" w16cid:durableId="769010856">
    <w:abstractNumId w:val="21"/>
  </w:num>
  <w:num w:numId="26" w16cid:durableId="1681620550">
    <w:abstractNumId w:val="11"/>
  </w:num>
  <w:num w:numId="27" w16cid:durableId="509104757">
    <w:abstractNumId w:val="28"/>
  </w:num>
  <w:num w:numId="28" w16cid:durableId="369958549">
    <w:abstractNumId w:val="19"/>
  </w:num>
  <w:num w:numId="29" w16cid:durableId="1489249045">
    <w:abstractNumId w:val="9"/>
  </w:num>
  <w:num w:numId="30" w16cid:durableId="1456942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131E"/>
    <w:rsid w:val="001C6301"/>
    <w:rsid w:val="001C653D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17CC2"/>
    <w:rsid w:val="00224075"/>
    <w:rsid w:val="00227023"/>
    <w:rsid w:val="00235063"/>
    <w:rsid w:val="00235EC6"/>
    <w:rsid w:val="00235F1A"/>
    <w:rsid w:val="00246139"/>
    <w:rsid w:val="00246D09"/>
    <w:rsid w:val="00254A4F"/>
    <w:rsid w:val="002550D6"/>
    <w:rsid w:val="0026062C"/>
    <w:rsid w:val="002620BB"/>
    <w:rsid w:val="00266410"/>
    <w:rsid w:val="00272570"/>
    <w:rsid w:val="00273DCD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BD6"/>
    <w:rsid w:val="00365FAE"/>
    <w:rsid w:val="00367A52"/>
    <w:rsid w:val="003765F5"/>
    <w:rsid w:val="003770CC"/>
    <w:rsid w:val="00387AA7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0B72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2F7"/>
    <w:rsid w:val="004413A3"/>
    <w:rsid w:val="004416C2"/>
    <w:rsid w:val="00443D2A"/>
    <w:rsid w:val="004462E3"/>
    <w:rsid w:val="004466B7"/>
    <w:rsid w:val="004470E1"/>
    <w:rsid w:val="004522CE"/>
    <w:rsid w:val="004522FE"/>
    <w:rsid w:val="0045364F"/>
    <w:rsid w:val="004560AB"/>
    <w:rsid w:val="00457953"/>
    <w:rsid w:val="0047096E"/>
    <w:rsid w:val="00473ADB"/>
    <w:rsid w:val="00477575"/>
    <w:rsid w:val="00482DEC"/>
    <w:rsid w:val="004860AF"/>
    <w:rsid w:val="00487A8F"/>
    <w:rsid w:val="0049290C"/>
    <w:rsid w:val="00496612"/>
    <w:rsid w:val="004A3CC0"/>
    <w:rsid w:val="004B1F21"/>
    <w:rsid w:val="004C2E52"/>
    <w:rsid w:val="004D72CE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7208"/>
    <w:rsid w:val="00530C04"/>
    <w:rsid w:val="00534BAD"/>
    <w:rsid w:val="00534CEE"/>
    <w:rsid w:val="00545CB5"/>
    <w:rsid w:val="0055095A"/>
    <w:rsid w:val="00555B1E"/>
    <w:rsid w:val="0055719B"/>
    <w:rsid w:val="005632F7"/>
    <w:rsid w:val="00565982"/>
    <w:rsid w:val="00571704"/>
    <w:rsid w:val="00573197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34F1"/>
    <w:rsid w:val="00597CD1"/>
    <w:rsid w:val="005A6343"/>
    <w:rsid w:val="005A6812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34BBC"/>
    <w:rsid w:val="00650082"/>
    <w:rsid w:val="00650A68"/>
    <w:rsid w:val="00653A8E"/>
    <w:rsid w:val="00655F51"/>
    <w:rsid w:val="006703DD"/>
    <w:rsid w:val="00674131"/>
    <w:rsid w:val="00675BC6"/>
    <w:rsid w:val="00676655"/>
    <w:rsid w:val="00677FA2"/>
    <w:rsid w:val="0068052C"/>
    <w:rsid w:val="00683F61"/>
    <w:rsid w:val="006877C4"/>
    <w:rsid w:val="00693230"/>
    <w:rsid w:val="00697867"/>
    <w:rsid w:val="006A169E"/>
    <w:rsid w:val="006A3B45"/>
    <w:rsid w:val="006A607B"/>
    <w:rsid w:val="006B1F05"/>
    <w:rsid w:val="006C44C5"/>
    <w:rsid w:val="006C74E0"/>
    <w:rsid w:val="006C7670"/>
    <w:rsid w:val="006E5AFE"/>
    <w:rsid w:val="006E5DEC"/>
    <w:rsid w:val="006E6C1A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4084D"/>
    <w:rsid w:val="007417E7"/>
    <w:rsid w:val="00742C9F"/>
    <w:rsid w:val="0075330F"/>
    <w:rsid w:val="00754BCE"/>
    <w:rsid w:val="00771C05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D0624"/>
    <w:rsid w:val="007D1A81"/>
    <w:rsid w:val="007D5F75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06A"/>
    <w:rsid w:val="0082416E"/>
    <w:rsid w:val="0082740E"/>
    <w:rsid w:val="00827462"/>
    <w:rsid w:val="00827B5C"/>
    <w:rsid w:val="00831E34"/>
    <w:rsid w:val="00834751"/>
    <w:rsid w:val="00836B47"/>
    <w:rsid w:val="00840500"/>
    <w:rsid w:val="008470A7"/>
    <w:rsid w:val="00866FED"/>
    <w:rsid w:val="00877B23"/>
    <w:rsid w:val="0088309E"/>
    <w:rsid w:val="008949BE"/>
    <w:rsid w:val="008C23F6"/>
    <w:rsid w:val="008C29C0"/>
    <w:rsid w:val="008E2ED0"/>
    <w:rsid w:val="008E4E38"/>
    <w:rsid w:val="00903A52"/>
    <w:rsid w:val="00907F55"/>
    <w:rsid w:val="00910840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C714C"/>
    <w:rsid w:val="009D4539"/>
    <w:rsid w:val="009E0BD7"/>
    <w:rsid w:val="009E4938"/>
    <w:rsid w:val="00A04536"/>
    <w:rsid w:val="00A07328"/>
    <w:rsid w:val="00A078F4"/>
    <w:rsid w:val="00A12BFB"/>
    <w:rsid w:val="00A46D1B"/>
    <w:rsid w:val="00A50618"/>
    <w:rsid w:val="00A53088"/>
    <w:rsid w:val="00A56228"/>
    <w:rsid w:val="00A5676D"/>
    <w:rsid w:val="00A62246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C0513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5CFD"/>
    <w:rsid w:val="00B9754D"/>
    <w:rsid w:val="00BA0CD1"/>
    <w:rsid w:val="00BA0D45"/>
    <w:rsid w:val="00BA5D77"/>
    <w:rsid w:val="00BB0E80"/>
    <w:rsid w:val="00BB3404"/>
    <w:rsid w:val="00BB3F99"/>
    <w:rsid w:val="00BB45F6"/>
    <w:rsid w:val="00BB4709"/>
    <w:rsid w:val="00BD6D71"/>
    <w:rsid w:val="00BE37B9"/>
    <w:rsid w:val="00C0061D"/>
    <w:rsid w:val="00C01565"/>
    <w:rsid w:val="00C057F8"/>
    <w:rsid w:val="00C16A06"/>
    <w:rsid w:val="00C17A83"/>
    <w:rsid w:val="00C209DB"/>
    <w:rsid w:val="00C233BC"/>
    <w:rsid w:val="00C25977"/>
    <w:rsid w:val="00C265CA"/>
    <w:rsid w:val="00C3465F"/>
    <w:rsid w:val="00C347EC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3A6B"/>
    <w:rsid w:val="00CB4A1A"/>
    <w:rsid w:val="00CC4394"/>
    <w:rsid w:val="00CD3484"/>
    <w:rsid w:val="00CD422B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3AD6"/>
    <w:rsid w:val="00D666F1"/>
    <w:rsid w:val="00D67BC0"/>
    <w:rsid w:val="00D67F24"/>
    <w:rsid w:val="00D72DD9"/>
    <w:rsid w:val="00D749E0"/>
    <w:rsid w:val="00D7514A"/>
    <w:rsid w:val="00D762F9"/>
    <w:rsid w:val="00D7785A"/>
    <w:rsid w:val="00D804D0"/>
    <w:rsid w:val="00D84E0F"/>
    <w:rsid w:val="00D84E23"/>
    <w:rsid w:val="00D85865"/>
    <w:rsid w:val="00D91765"/>
    <w:rsid w:val="00D9551B"/>
    <w:rsid w:val="00D96568"/>
    <w:rsid w:val="00DA081F"/>
    <w:rsid w:val="00DA0FEE"/>
    <w:rsid w:val="00DB2743"/>
    <w:rsid w:val="00DB5E9E"/>
    <w:rsid w:val="00DD01F2"/>
    <w:rsid w:val="00DD1F67"/>
    <w:rsid w:val="00DD33BB"/>
    <w:rsid w:val="00DD3EB2"/>
    <w:rsid w:val="00DD5CE6"/>
    <w:rsid w:val="00DE548C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270C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5EAE"/>
    <w:rsid w:val="00EE7022"/>
    <w:rsid w:val="00EF098B"/>
    <w:rsid w:val="00F02536"/>
    <w:rsid w:val="00F138CF"/>
    <w:rsid w:val="00F23E0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4117"/>
    <w:rsid w:val="00F76AB1"/>
    <w:rsid w:val="00F83050"/>
    <w:rsid w:val="00F94F3A"/>
    <w:rsid w:val="00FA6188"/>
    <w:rsid w:val="00FB17F9"/>
    <w:rsid w:val="00FB24A1"/>
    <w:rsid w:val="00FB4F09"/>
    <w:rsid w:val="00FB70CB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0AA43"/>
  <w15:docId w15:val="{CA947B78-9145-41CD-891D-CCDD3D76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D33BB"/>
    <w:rPr>
      <w:b/>
      <w:bCs/>
    </w:rPr>
  </w:style>
  <w:style w:type="paragraph" w:customStyle="1" w:styleId="Default">
    <w:name w:val="Default"/>
    <w:rsid w:val="00217C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0F67-B955-094D-946F-8BCE7036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11399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toscano giovanna</dc:creator>
  <cp:lastModifiedBy>Fabio</cp:lastModifiedBy>
  <cp:revision>2</cp:revision>
  <cp:lastPrinted>2020-06-26T07:40:00Z</cp:lastPrinted>
  <dcterms:created xsi:type="dcterms:W3CDTF">2024-02-14T10:51:00Z</dcterms:created>
  <dcterms:modified xsi:type="dcterms:W3CDTF">2024-02-14T10:51:00Z</dcterms:modified>
</cp:coreProperties>
</file>