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2FC7" w14:textId="77777777" w:rsidR="00E83924" w:rsidRPr="00590467" w:rsidRDefault="00E83924" w:rsidP="00E83924">
      <w:pPr>
        <w:shd w:val="clear" w:color="auto" w:fill="FFFFFF"/>
        <w:spacing w:before="100" w:after="120"/>
        <w:jc w:val="center"/>
        <w:rPr>
          <w:rFonts w:eastAsia="Times New Roman" w:cs="Calibri"/>
          <w:b/>
          <w:bCs/>
          <w:lang w:eastAsia="it-IT"/>
        </w:rPr>
      </w:pPr>
      <w:r w:rsidRPr="00590467">
        <w:rPr>
          <w:rFonts w:eastAsia="Times New Roman" w:cs="Calibri"/>
          <w:b/>
          <w:bCs/>
          <w:lang w:eastAsia="it-IT"/>
        </w:rPr>
        <w:t xml:space="preserve">Documento di progettazione del </w:t>
      </w:r>
      <w:r>
        <w:rPr>
          <w:rFonts w:eastAsia="Times New Roman" w:cs="Calibri"/>
          <w:b/>
          <w:bCs/>
          <w:lang w:eastAsia="it-IT"/>
        </w:rPr>
        <w:t xml:space="preserve">Corso di </w:t>
      </w:r>
      <w:r w:rsidRPr="00590467">
        <w:rPr>
          <w:rFonts w:eastAsia="Times New Roman" w:cs="Calibri"/>
          <w:b/>
          <w:bCs/>
          <w:lang w:eastAsia="it-IT"/>
        </w:rPr>
        <w:t>Dottorato di Ricerca in Transizione Ecologica</w:t>
      </w:r>
    </w:p>
    <w:p w14:paraId="4E2AAB5A" w14:textId="77777777" w:rsidR="00E83924" w:rsidRDefault="00E83924" w:rsidP="00E83924">
      <w:pPr>
        <w:pStyle w:val="Paragrafoelenco"/>
        <w:suppressAutoHyphens/>
        <w:autoSpaceDN w:val="0"/>
        <w:spacing w:after="120"/>
        <w:ind w:left="425"/>
        <w:rPr>
          <w:rFonts w:cs="Calibri"/>
          <w:b/>
          <w:bCs/>
          <w:sz w:val="22"/>
          <w:szCs w:val="22"/>
        </w:rPr>
      </w:pPr>
    </w:p>
    <w:p w14:paraId="55FC6F2A" w14:textId="77777777" w:rsidR="00E83924" w:rsidRDefault="00E83924" w:rsidP="00E83924">
      <w:pPr>
        <w:pStyle w:val="Paragrafoelenco"/>
        <w:numPr>
          <w:ilvl w:val="1"/>
          <w:numId w:val="12"/>
        </w:numPr>
        <w:suppressAutoHyphens/>
        <w:autoSpaceDN w:val="0"/>
        <w:spacing w:after="120"/>
        <w:ind w:left="425" w:hanging="425"/>
        <w:rPr>
          <w:rFonts w:cs="Calibri"/>
          <w:b/>
          <w:bCs/>
          <w:sz w:val="22"/>
          <w:szCs w:val="22"/>
        </w:rPr>
      </w:pPr>
      <w:r w:rsidRPr="0093236C">
        <w:rPr>
          <w:rFonts w:cs="Calibri"/>
          <w:b/>
          <w:bCs/>
          <w:sz w:val="22"/>
          <w:szCs w:val="22"/>
        </w:rPr>
        <w:t>Progettazione del Corso di Dottorato di Ricerca</w:t>
      </w:r>
    </w:p>
    <w:p w14:paraId="5041856F" w14:textId="77777777" w:rsidR="00E83924" w:rsidRPr="009A416F" w:rsidRDefault="00E83924" w:rsidP="00E83924">
      <w:pPr>
        <w:spacing w:after="120"/>
        <w:rPr>
          <w:rFonts w:cs="Calibri"/>
          <w:b/>
          <w:bCs/>
          <w:i/>
          <w:iCs/>
        </w:rPr>
      </w:pPr>
      <w:r>
        <w:rPr>
          <w:rFonts w:cs="Calibri"/>
          <w:b/>
          <w:bCs/>
          <w:i/>
          <w:iCs/>
        </w:rPr>
        <w:t xml:space="preserve">1.1 </w:t>
      </w:r>
      <w:r w:rsidRPr="009A416F">
        <w:rPr>
          <w:rFonts w:cs="Calibri"/>
          <w:b/>
          <w:bCs/>
          <w:i/>
          <w:iCs/>
        </w:rPr>
        <w:t>Progetto e obiettivi</w:t>
      </w:r>
    </w:p>
    <w:p w14:paraId="7CA8D1BB" w14:textId="602BD196" w:rsidR="00E83924" w:rsidRDefault="00E83924" w:rsidP="00E83924">
      <w:pPr>
        <w:spacing w:after="120"/>
        <w:rPr>
          <w:rFonts w:cs="Calibri"/>
        </w:rPr>
      </w:pPr>
      <w:r w:rsidRPr="00324EF4">
        <w:rPr>
          <w:rFonts w:cs="Calibri"/>
        </w:rPr>
        <w:t xml:space="preserve">Il </w:t>
      </w:r>
      <w:r>
        <w:rPr>
          <w:rFonts w:cs="Calibri"/>
        </w:rPr>
        <w:t>Corso di Dottorato</w:t>
      </w:r>
      <w:r w:rsidRPr="00324EF4">
        <w:rPr>
          <w:rFonts w:cs="Calibri"/>
        </w:rPr>
        <w:t xml:space="preserve"> </w:t>
      </w:r>
      <w:r>
        <w:rPr>
          <w:rFonts w:cs="Calibri"/>
        </w:rPr>
        <w:t xml:space="preserve">di Ricerca </w:t>
      </w:r>
      <w:r w:rsidRPr="00324EF4">
        <w:rPr>
          <w:rFonts w:cs="Calibri"/>
        </w:rPr>
        <w:t xml:space="preserve">in Transizione Ecologica è stato </w:t>
      </w:r>
      <w:r w:rsidRPr="000F1675">
        <w:rPr>
          <w:rFonts w:cs="Calibri"/>
          <w:u w:val="single"/>
        </w:rPr>
        <w:t>istituito a partire dal ciclo XXXVIII</w:t>
      </w:r>
      <w:r>
        <w:rPr>
          <w:rFonts w:cs="Calibri"/>
          <w:u w:val="single"/>
        </w:rPr>
        <w:t xml:space="preserve"> </w:t>
      </w:r>
      <w:r w:rsidRPr="00324EF4">
        <w:rPr>
          <w:rFonts w:cs="Calibri"/>
        </w:rPr>
        <w:t xml:space="preserve">(approvato nella seduta del Consiglio Scientifico del CSTE del </w:t>
      </w:r>
      <w:r w:rsidRPr="00C20365">
        <w:rPr>
          <w:rFonts w:cs="Calibri"/>
        </w:rPr>
        <w:t>3 maggio 2022</w:t>
      </w:r>
      <w:r>
        <w:rPr>
          <w:rFonts w:cs="Calibri"/>
        </w:rPr>
        <w:t>,</w:t>
      </w:r>
      <w:r w:rsidRPr="00C20365">
        <w:rPr>
          <w:rFonts w:cs="Calibri"/>
        </w:rPr>
        <w:t xml:space="preserve"> aggiorna</w:t>
      </w:r>
      <w:r>
        <w:rPr>
          <w:rFonts w:cs="Calibri"/>
        </w:rPr>
        <w:t>ta</w:t>
      </w:r>
      <w:r w:rsidRPr="00C20365">
        <w:rPr>
          <w:rFonts w:cs="Calibri"/>
        </w:rPr>
        <w:t xml:space="preserve"> </w:t>
      </w:r>
      <w:r>
        <w:rPr>
          <w:rFonts w:cs="Calibri"/>
        </w:rPr>
        <w:t xml:space="preserve">il </w:t>
      </w:r>
      <w:r w:rsidRPr="00C20365">
        <w:rPr>
          <w:rFonts w:cs="Calibri"/>
        </w:rPr>
        <w:t>18 maggio 2022</w:t>
      </w:r>
      <w:r w:rsidRPr="00324EF4">
        <w:rPr>
          <w:rFonts w:cs="Calibri"/>
        </w:rPr>
        <w:t>), su proposta del neocostituito (aprile 2022) Centro di Sostenibilità e Transizione Ecologica, CSTE, dell’Ateneo di</w:t>
      </w:r>
      <w:r w:rsidRPr="00CF7089">
        <w:rPr>
          <w:rFonts w:cs="Calibri"/>
        </w:rPr>
        <w:t xml:space="preserve"> </w:t>
      </w:r>
      <w:r w:rsidRPr="00324EF4">
        <w:rPr>
          <w:rFonts w:cs="Calibri"/>
        </w:rPr>
        <w:t xml:space="preserve">Palermo. Il </w:t>
      </w:r>
      <w:r>
        <w:rPr>
          <w:rFonts w:cs="Calibri"/>
        </w:rPr>
        <w:t>d</w:t>
      </w:r>
      <w:r w:rsidRPr="00324EF4">
        <w:rPr>
          <w:rFonts w:cs="Calibri"/>
        </w:rPr>
        <w:t>ottorato r</w:t>
      </w:r>
      <w:r w:rsidRPr="00287B39">
        <w:rPr>
          <w:rFonts w:cs="Calibri"/>
        </w:rPr>
        <w:t xml:space="preserve">ientra tra i punti programmatici del CSTE ed è in linea con le politiche di didattica di III livello e con il </w:t>
      </w:r>
      <w:r w:rsidRPr="00287B39">
        <w:rPr>
          <w:rFonts w:cs="Calibri"/>
          <w:u w:val="single"/>
        </w:rPr>
        <w:t>piano strategico di Ateneo</w:t>
      </w:r>
      <w:r w:rsidRPr="00287B39">
        <w:rPr>
          <w:rFonts w:cs="Calibri"/>
        </w:rPr>
        <w:t xml:space="preserve"> (2024-2027) e in particolare con la </w:t>
      </w:r>
      <w:r w:rsidR="00696420">
        <w:rPr>
          <w:rFonts w:cs="Calibri"/>
        </w:rPr>
        <w:t>“</w:t>
      </w:r>
      <w:r w:rsidRPr="00287B39">
        <w:rPr>
          <w:rFonts w:cs="Calibri"/>
        </w:rPr>
        <w:t xml:space="preserve">Linea 1 </w:t>
      </w:r>
      <w:r w:rsidR="00696420">
        <w:rPr>
          <w:rFonts w:cs="Calibri"/>
        </w:rPr>
        <w:t xml:space="preserve">- </w:t>
      </w:r>
      <w:r w:rsidRPr="00287B39">
        <w:rPr>
          <w:rFonts w:cs="Calibri"/>
        </w:rPr>
        <w:t>La ricerca come missione trainante” che, nell’obiettivo 1.5 “Favorire l’avvio delle carriere dei giovani studiosi e innalzare la qualità della loro produzione scientifica”, pone attenzione allo sviluppo di corsi di dottorato di ricerca con collocazione anche in un contesto internazionale, proponendosi di mantenere un elevato numero di borse di dottorato, supportandone prioritariamente il finanziamento o il cofinanziamento con fondi esterni, aumentare la dotazione finanziaria a supporto dell’attività di ricerca dei dottorandi e introdurre efficaci metodi di valutazione dei corsi di dottorato sulla base dell’attività scientifica dei dottorandi.</w:t>
      </w:r>
    </w:p>
    <w:p w14:paraId="7382EE0A" w14:textId="77777777" w:rsidR="00E83924" w:rsidRPr="009E2437" w:rsidRDefault="00E83924" w:rsidP="00E83924">
      <w:pPr>
        <w:spacing w:after="120"/>
        <w:rPr>
          <w:rFonts w:cs="Calibri"/>
        </w:rPr>
      </w:pPr>
      <w:r w:rsidRPr="00324EF4">
        <w:rPr>
          <w:rFonts w:cs="Calibri"/>
        </w:rPr>
        <w:t xml:space="preserve">Le motivazioni che hanno portato alla proposizione del </w:t>
      </w:r>
      <w:r>
        <w:rPr>
          <w:rFonts w:cs="Calibri"/>
        </w:rPr>
        <w:t>Corso di Dottorato</w:t>
      </w:r>
      <w:r w:rsidRPr="00324EF4">
        <w:rPr>
          <w:rFonts w:cs="Calibri"/>
        </w:rPr>
        <w:t xml:space="preserve"> </w:t>
      </w:r>
      <w:r>
        <w:rPr>
          <w:rFonts w:cs="Calibri"/>
        </w:rPr>
        <w:t xml:space="preserve">in Transizione Ecologica </w:t>
      </w:r>
      <w:r w:rsidRPr="00324EF4">
        <w:rPr>
          <w:rFonts w:cs="Calibri"/>
        </w:rPr>
        <w:t>si fondano sulla strategia di Ateneo di dare centralità ai temi della sostenibilità e della transizione ecologica che</w:t>
      </w:r>
      <w:r>
        <w:rPr>
          <w:rFonts w:cs="Calibri"/>
        </w:rPr>
        <w:t>,</w:t>
      </w:r>
      <w:r w:rsidRPr="00324EF4">
        <w:rPr>
          <w:rFonts w:cs="Calibri"/>
        </w:rPr>
        <w:t xml:space="preserve"> per loro natura</w:t>
      </w:r>
      <w:r>
        <w:rPr>
          <w:rFonts w:cs="Calibri"/>
        </w:rPr>
        <w:t>,</w:t>
      </w:r>
      <w:r w:rsidRPr="00324EF4">
        <w:rPr>
          <w:rFonts w:cs="Calibri"/>
        </w:rPr>
        <w:t xml:space="preserve"> richiedono quegli elementi di multi-, inter- e trans</w:t>
      </w:r>
      <w:r>
        <w:rPr>
          <w:rFonts w:cs="Calibri"/>
        </w:rPr>
        <w:t>-</w:t>
      </w:r>
      <w:proofErr w:type="spellStart"/>
      <w:r w:rsidRPr="00324EF4">
        <w:rPr>
          <w:rFonts w:cs="Calibri"/>
        </w:rPr>
        <w:t>disciplinarietà</w:t>
      </w:r>
      <w:proofErr w:type="spellEnd"/>
      <w:r w:rsidRPr="00324EF4">
        <w:rPr>
          <w:rFonts w:cs="Calibri"/>
        </w:rPr>
        <w:t xml:space="preserve"> naturalmente declinati all’interno del CSTE. Il CSTE </w:t>
      </w:r>
      <w:r>
        <w:rPr>
          <w:rFonts w:cs="Calibri"/>
        </w:rPr>
        <w:t>rappresenta,</w:t>
      </w:r>
      <w:r w:rsidRPr="00324EF4">
        <w:rPr>
          <w:rFonts w:cs="Calibri"/>
        </w:rPr>
        <w:t xml:space="preserve"> infatti</w:t>
      </w:r>
      <w:r>
        <w:rPr>
          <w:rFonts w:cs="Calibri"/>
        </w:rPr>
        <w:t>,</w:t>
      </w:r>
      <w:r w:rsidRPr="009E2437">
        <w:rPr>
          <w:rFonts w:cs="Calibri"/>
        </w:rPr>
        <w:t xml:space="preserve"> un catalizzatore delle iniziative che, a diverso titolo, incroci</w:t>
      </w:r>
      <w:r>
        <w:rPr>
          <w:rFonts w:cs="Calibri"/>
        </w:rPr>
        <w:t>a</w:t>
      </w:r>
      <w:r w:rsidRPr="009E2437">
        <w:rPr>
          <w:rFonts w:cs="Calibri"/>
        </w:rPr>
        <w:t>no i temi della sostenibilità e degli SDG dell’</w:t>
      </w:r>
      <w:r>
        <w:rPr>
          <w:rFonts w:cs="Calibri"/>
        </w:rPr>
        <w:t>Agenda 2030 dell’</w:t>
      </w:r>
      <w:r w:rsidRPr="009E2437">
        <w:rPr>
          <w:rFonts w:cs="Calibri"/>
        </w:rPr>
        <w:t>ONU per promuovere e incentivare</w:t>
      </w:r>
      <w:r>
        <w:rPr>
          <w:rFonts w:cs="Calibri"/>
        </w:rPr>
        <w:t xml:space="preserve"> </w:t>
      </w:r>
      <w:r w:rsidRPr="009E2437">
        <w:rPr>
          <w:rFonts w:cs="Calibri"/>
        </w:rPr>
        <w:t xml:space="preserve">le attività di ricerca </w:t>
      </w:r>
      <w:r>
        <w:rPr>
          <w:rFonts w:cs="Calibri"/>
        </w:rPr>
        <w:t xml:space="preserve">e innovazione </w:t>
      </w:r>
      <w:r w:rsidRPr="009E2437">
        <w:rPr>
          <w:rFonts w:cs="Calibri"/>
        </w:rPr>
        <w:t>dell’Ateneo nel campo della sostenibilità</w:t>
      </w:r>
      <w:r>
        <w:rPr>
          <w:rFonts w:cs="Calibri"/>
        </w:rPr>
        <w:t>,</w:t>
      </w:r>
      <w:r w:rsidRPr="009E2437">
        <w:rPr>
          <w:rFonts w:cs="Calibri"/>
        </w:rPr>
        <w:t xml:space="preserve"> </w:t>
      </w:r>
      <w:r>
        <w:rPr>
          <w:rFonts w:cs="Calibri"/>
        </w:rPr>
        <w:t xml:space="preserve">e integrare </w:t>
      </w:r>
      <w:r w:rsidRPr="009E2437">
        <w:rPr>
          <w:rFonts w:cs="Calibri"/>
        </w:rPr>
        <w:t xml:space="preserve">i principi della sostenibilità </w:t>
      </w:r>
      <w:r>
        <w:rPr>
          <w:rFonts w:cs="Calibri"/>
        </w:rPr>
        <w:t>nel</w:t>
      </w:r>
      <w:r w:rsidRPr="009E2437">
        <w:rPr>
          <w:rFonts w:cs="Calibri"/>
        </w:rPr>
        <w:t>lo sviluppo dei percorsi formativi</w:t>
      </w:r>
      <w:r>
        <w:rPr>
          <w:rFonts w:cs="Calibri"/>
        </w:rPr>
        <w:t xml:space="preserve"> e </w:t>
      </w:r>
      <w:r w:rsidRPr="009E2437">
        <w:rPr>
          <w:rFonts w:cs="Calibri"/>
        </w:rPr>
        <w:t xml:space="preserve">nelle attività </w:t>
      </w:r>
      <w:r>
        <w:rPr>
          <w:rFonts w:cs="Calibri"/>
        </w:rPr>
        <w:t xml:space="preserve">di </w:t>
      </w:r>
      <w:r w:rsidRPr="009E2437">
        <w:rPr>
          <w:rFonts w:cs="Calibri"/>
        </w:rPr>
        <w:t>terza missione dell’Ateneo</w:t>
      </w:r>
      <w:r>
        <w:rPr>
          <w:rFonts w:cs="Calibri"/>
        </w:rPr>
        <w:t>.</w:t>
      </w:r>
    </w:p>
    <w:p w14:paraId="00F2E043" w14:textId="77777777" w:rsidR="00E83924" w:rsidRPr="00324EF4" w:rsidRDefault="00E83924" w:rsidP="00E83924">
      <w:pPr>
        <w:spacing w:after="120"/>
        <w:rPr>
          <w:rFonts w:cs="Calibri"/>
        </w:rPr>
      </w:pPr>
      <w:r w:rsidRPr="00324EF4">
        <w:rPr>
          <w:rFonts w:cs="Calibri"/>
        </w:rPr>
        <w:t xml:space="preserve">Il Dottorato è stato proposto nella forma associata </w:t>
      </w:r>
      <w:r>
        <w:rPr>
          <w:rFonts w:cs="Calibri"/>
        </w:rPr>
        <w:t xml:space="preserve">tra l’Università degli Studi di Palermo (sede amministrativa), </w:t>
      </w:r>
      <w:r w:rsidRPr="00324EF4">
        <w:rPr>
          <w:rFonts w:cs="Calibri"/>
        </w:rPr>
        <w:t>l’Università degli Studi di Messina</w:t>
      </w:r>
      <w:r>
        <w:rPr>
          <w:rFonts w:cs="Calibri"/>
        </w:rPr>
        <w:t xml:space="preserve"> e l’</w:t>
      </w:r>
      <w:r w:rsidRPr="00EE6A35">
        <w:rPr>
          <w:rFonts w:cs="Calibri"/>
        </w:rPr>
        <w:t xml:space="preserve">Istituto di Tecnologie Avanzate per l'Energia </w:t>
      </w:r>
      <w:r>
        <w:rPr>
          <w:rFonts w:cs="Calibri"/>
        </w:rPr>
        <w:t xml:space="preserve">del </w:t>
      </w:r>
      <w:r w:rsidRPr="00EE6A35">
        <w:rPr>
          <w:rFonts w:cs="Calibri"/>
        </w:rPr>
        <w:t>CNR</w:t>
      </w:r>
      <w:r>
        <w:rPr>
          <w:rFonts w:cs="Calibri"/>
        </w:rPr>
        <w:t xml:space="preserve">, CNR-ITAE. Tale struttura organizzativa offre </w:t>
      </w:r>
      <w:r w:rsidRPr="00324EF4">
        <w:rPr>
          <w:rFonts w:cs="Calibri"/>
        </w:rPr>
        <w:t>un valore aggiunto</w:t>
      </w:r>
      <w:r>
        <w:rPr>
          <w:rFonts w:cs="Calibri"/>
        </w:rPr>
        <w:t xml:space="preserve"> ai Dottorandi,</w:t>
      </w:r>
      <w:r w:rsidRPr="00324EF4">
        <w:rPr>
          <w:rFonts w:cs="Calibri"/>
        </w:rPr>
        <w:t xml:space="preserve"> garantendo </w:t>
      </w:r>
      <w:r>
        <w:rPr>
          <w:rFonts w:cs="Calibri"/>
        </w:rPr>
        <w:t xml:space="preserve">non solo uno spettro ampio di </w:t>
      </w:r>
      <w:r w:rsidRPr="00324EF4">
        <w:rPr>
          <w:rFonts w:cs="Calibri"/>
        </w:rPr>
        <w:t>tematiche trattate</w:t>
      </w:r>
      <w:r>
        <w:rPr>
          <w:rFonts w:cs="Calibri"/>
        </w:rPr>
        <w:t xml:space="preserve"> e di metodologie e approcci utilizzati</w:t>
      </w:r>
      <w:r w:rsidRPr="00324EF4">
        <w:rPr>
          <w:rFonts w:cs="Calibri"/>
        </w:rPr>
        <w:t xml:space="preserve">, ma anche un contesto più </w:t>
      </w:r>
      <w:r>
        <w:rPr>
          <w:rFonts w:cs="Calibri"/>
        </w:rPr>
        <w:t>variegato</w:t>
      </w:r>
      <w:r w:rsidRPr="00324EF4">
        <w:rPr>
          <w:rFonts w:cs="Calibri"/>
        </w:rPr>
        <w:t xml:space="preserve"> </w:t>
      </w:r>
      <w:r>
        <w:rPr>
          <w:rFonts w:cs="Calibri"/>
        </w:rPr>
        <w:t xml:space="preserve">per </w:t>
      </w:r>
      <w:r w:rsidRPr="00324EF4">
        <w:rPr>
          <w:rFonts w:cs="Calibri"/>
        </w:rPr>
        <w:t>interazioni</w:t>
      </w:r>
      <w:r>
        <w:rPr>
          <w:rFonts w:cs="Calibri"/>
        </w:rPr>
        <w:t xml:space="preserve"> e connessioni scientifiche.</w:t>
      </w:r>
    </w:p>
    <w:p w14:paraId="009209BD" w14:textId="1F82050C" w:rsidR="00E83924" w:rsidRPr="00324EF4" w:rsidRDefault="00E83924" w:rsidP="00E83924">
      <w:pPr>
        <w:spacing w:after="120"/>
        <w:rPr>
          <w:rFonts w:cs="Calibri"/>
        </w:rPr>
      </w:pPr>
      <w:r w:rsidRPr="00324EF4">
        <w:rPr>
          <w:rFonts w:cs="Calibri"/>
        </w:rPr>
        <w:t xml:space="preserve">Il </w:t>
      </w:r>
      <w:r>
        <w:rPr>
          <w:rFonts w:cs="Calibri"/>
        </w:rPr>
        <w:t>Collegi</w:t>
      </w:r>
      <w:r w:rsidRPr="00324EF4">
        <w:rPr>
          <w:rFonts w:cs="Calibri"/>
        </w:rPr>
        <w:t>o ri</w:t>
      </w:r>
      <w:r w:rsidRPr="00EA626C">
        <w:rPr>
          <w:rFonts w:cs="Calibri"/>
        </w:rPr>
        <w:t>sulta essere composto da Docenti appartenenti a 9 diverse aree CUN e 1</w:t>
      </w:r>
      <w:r w:rsidR="00EA626C" w:rsidRPr="00EA626C">
        <w:rPr>
          <w:rFonts w:cs="Calibri"/>
        </w:rPr>
        <w:t>3</w:t>
      </w:r>
      <w:r w:rsidRPr="00EA626C">
        <w:rPr>
          <w:rFonts w:cs="Calibri"/>
        </w:rPr>
        <w:t xml:space="preserve"> SSD con competenze che includono</w:t>
      </w:r>
      <w:r>
        <w:rPr>
          <w:rFonts w:cs="Calibri"/>
        </w:rPr>
        <w:t xml:space="preserve"> tematiche proprie delle discipline </w:t>
      </w:r>
      <w:r w:rsidRPr="00E355BF">
        <w:rPr>
          <w:rFonts w:cs="Calibri"/>
        </w:rPr>
        <w:t>delle aree umanistiche, scientifiche, tecnologiche, sanitarie e</w:t>
      </w:r>
      <w:r>
        <w:rPr>
          <w:rFonts w:cs="Calibri"/>
        </w:rPr>
        <w:t>d</w:t>
      </w:r>
      <w:r w:rsidRPr="00E355BF">
        <w:rPr>
          <w:rFonts w:cs="Calibri"/>
        </w:rPr>
        <w:t xml:space="preserve"> economico-sociali</w:t>
      </w:r>
      <w:r w:rsidRPr="00324EF4">
        <w:rPr>
          <w:rFonts w:cs="Calibri"/>
        </w:rPr>
        <w:t xml:space="preserve">. L’obiettivo è stato quello di progettare un </w:t>
      </w:r>
      <w:r>
        <w:rPr>
          <w:rFonts w:cs="Calibri"/>
        </w:rPr>
        <w:t>Corso di Dottorato</w:t>
      </w:r>
      <w:r w:rsidRPr="00324EF4">
        <w:rPr>
          <w:rFonts w:cs="Calibri"/>
        </w:rPr>
        <w:t xml:space="preserve"> che</w:t>
      </w:r>
      <w:r>
        <w:rPr>
          <w:rFonts w:cs="Calibri"/>
        </w:rPr>
        <w:t>,</w:t>
      </w:r>
      <w:r w:rsidRPr="00324EF4">
        <w:rPr>
          <w:rFonts w:cs="Calibri"/>
        </w:rPr>
        <w:t xml:space="preserve"> per contenuti e competenze dei </w:t>
      </w:r>
      <w:r>
        <w:rPr>
          <w:rFonts w:cs="Calibri"/>
        </w:rPr>
        <w:t>Docent</w:t>
      </w:r>
      <w:r w:rsidRPr="00324EF4">
        <w:rPr>
          <w:rFonts w:cs="Calibri"/>
        </w:rPr>
        <w:t xml:space="preserve">i componenti il </w:t>
      </w:r>
      <w:r>
        <w:rPr>
          <w:rFonts w:cs="Calibri"/>
        </w:rPr>
        <w:t>Collegi</w:t>
      </w:r>
      <w:r w:rsidRPr="00324EF4">
        <w:rPr>
          <w:rFonts w:cs="Calibri"/>
        </w:rPr>
        <w:t>o</w:t>
      </w:r>
      <w:r>
        <w:rPr>
          <w:rFonts w:cs="Calibri"/>
        </w:rPr>
        <w:t>,</w:t>
      </w:r>
      <w:r w:rsidRPr="00324EF4">
        <w:rPr>
          <w:rFonts w:cs="Calibri"/>
        </w:rPr>
        <w:t xml:space="preserve"> superi i confini di singoli ambiti e discipline e consenta una piena e concreta trattazione </w:t>
      </w:r>
      <w:r>
        <w:rPr>
          <w:rFonts w:cs="Calibri"/>
        </w:rPr>
        <w:t>dei temi della</w:t>
      </w:r>
      <w:r w:rsidRPr="00324EF4">
        <w:rPr>
          <w:rFonts w:cs="Calibri"/>
        </w:rPr>
        <w:t xml:space="preserve"> transizione ecologica</w:t>
      </w:r>
      <w:r>
        <w:rPr>
          <w:rFonts w:cs="Calibri"/>
        </w:rPr>
        <w:t xml:space="preserve"> e della </w:t>
      </w:r>
      <w:r w:rsidRPr="00324EF4">
        <w:rPr>
          <w:rFonts w:cs="Calibri"/>
        </w:rPr>
        <w:t>sostenibilità</w:t>
      </w:r>
      <w:r>
        <w:rPr>
          <w:rFonts w:cs="Calibri"/>
        </w:rPr>
        <w:t xml:space="preserve"> attraverso i necessari</w:t>
      </w:r>
      <w:r w:rsidRPr="00324EF4">
        <w:rPr>
          <w:rFonts w:cs="Calibri"/>
        </w:rPr>
        <w:t xml:space="preserve"> elementi di </w:t>
      </w:r>
      <w:r w:rsidRPr="00635CDD">
        <w:rPr>
          <w:rFonts w:cs="Calibri"/>
          <w:u w:val="single"/>
        </w:rPr>
        <w:t>multi-, inter- e trans</w:t>
      </w:r>
      <w:r>
        <w:rPr>
          <w:rFonts w:cs="Calibri"/>
          <w:u w:val="single"/>
        </w:rPr>
        <w:t>-</w:t>
      </w:r>
      <w:proofErr w:type="spellStart"/>
      <w:r w:rsidRPr="00635CDD">
        <w:rPr>
          <w:rFonts w:cs="Calibri"/>
          <w:u w:val="single"/>
        </w:rPr>
        <w:t>disciplinarietà</w:t>
      </w:r>
      <w:proofErr w:type="spellEnd"/>
      <w:r w:rsidRPr="00026DEF">
        <w:rPr>
          <w:rFonts w:cs="Calibri"/>
        </w:rPr>
        <w:t xml:space="preserve">, </w:t>
      </w:r>
      <w:r w:rsidRPr="00324EF4">
        <w:rPr>
          <w:rFonts w:cs="Calibri"/>
        </w:rPr>
        <w:lastRenderedPageBreak/>
        <w:t>in linea con le politiche strategiche europee (</w:t>
      </w:r>
      <w:r>
        <w:rPr>
          <w:rFonts w:cs="Calibri"/>
        </w:rPr>
        <w:t xml:space="preserve">es. </w:t>
      </w:r>
      <w:r w:rsidRPr="00E149D3">
        <w:rPr>
          <w:rFonts w:cs="Calibri"/>
          <w:i/>
          <w:iCs/>
        </w:rPr>
        <w:t>Green Deal</w:t>
      </w:r>
      <w:r w:rsidRPr="00324EF4">
        <w:rPr>
          <w:rFonts w:cs="Calibri"/>
        </w:rPr>
        <w:t xml:space="preserve">, </w:t>
      </w:r>
      <w:r w:rsidRPr="00E149D3">
        <w:rPr>
          <w:rFonts w:cs="Calibri"/>
          <w:i/>
          <w:iCs/>
        </w:rPr>
        <w:t>Next generation UE</w:t>
      </w:r>
      <w:r w:rsidRPr="00324EF4">
        <w:rPr>
          <w:rFonts w:cs="Calibri"/>
        </w:rPr>
        <w:t xml:space="preserve">) </w:t>
      </w:r>
      <w:r>
        <w:rPr>
          <w:rFonts w:cs="Calibri"/>
        </w:rPr>
        <w:t>e dell’Agenda 2030 dell’ONU.</w:t>
      </w:r>
    </w:p>
    <w:p w14:paraId="7D8C4F41" w14:textId="77777777" w:rsidR="00E83924" w:rsidRDefault="00E83924" w:rsidP="00E83924">
      <w:pPr>
        <w:spacing w:after="120"/>
      </w:pPr>
      <w:r>
        <w:rPr>
          <w:rFonts w:cs="Calibri"/>
        </w:rPr>
        <w:t>L’</w:t>
      </w:r>
      <w:r w:rsidRPr="00C433B0">
        <w:rPr>
          <w:rFonts w:cs="Calibri"/>
          <w:u w:val="single"/>
        </w:rPr>
        <w:t xml:space="preserve">obiettivo del </w:t>
      </w:r>
      <w:r>
        <w:rPr>
          <w:rFonts w:cs="Calibri"/>
          <w:u w:val="single"/>
        </w:rPr>
        <w:t>Corso di Dottorato</w:t>
      </w:r>
      <w:r w:rsidRPr="00324EF4">
        <w:rPr>
          <w:rFonts w:cs="Calibri"/>
        </w:rPr>
        <w:t xml:space="preserve"> </w:t>
      </w:r>
      <w:r>
        <w:rPr>
          <w:rFonts w:cs="Calibri"/>
        </w:rPr>
        <w:t xml:space="preserve">è di formare Dottori di Ricerca qualificati in termini di </w:t>
      </w:r>
      <w:r>
        <w:t>conoscenze, competenze e capacità per affrontare le molteplici sfide con cui si sta confrontando la società attuale, quali la lotta al cambiamento climatico, lo sviluppo sostenibile e la transizione ecologica, contribuendo alla messa a punto di nuovi modelli (sociali, economici ed ecologici) associati alla transizione ecologica. In quest’ottica, il dottorato in Transizione Ecologica ha tra gli obiettivi formativi anche l’acquisizione di competenze inerenti ai pilastri indi</w:t>
      </w:r>
      <w:r w:rsidRPr="005B56EE">
        <w:t>viduati dall’UNESCO negli anni ’90 del secolo scorso:</w:t>
      </w:r>
      <w:r>
        <w:t xml:space="preserve"> i) </w:t>
      </w:r>
      <w:r>
        <w:rPr>
          <w:i/>
          <w:iCs/>
        </w:rPr>
        <w:t>l</w:t>
      </w:r>
      <w:r w:rsidRPr="003F0542">
        <w:rPr>
          <w:i/>
          <w:iCs/>
        </w:rPr>
        <w:t>earning to know</w:t>
      </w:r>
      <w:r>
        <w:t xml:space="preserve">: imparare a comprendere e a usare la conoscenza, cioè ad utilizzare abilità di pensiero critico, </w:t>
      </w:r>
      <w:proofErr w:type="spellStart"/>
      <w:r w:rsidRPr="003F0542">
        <w:rPr>
          <w:i/>
          <w:iCs/>
        </w:rPr>
        <w:t>problem</w:t>
      </w:r>
      <w:proofErr w:type="spellEnd"/>
      <w:r>
        <w:rPr>
          <w:i/>
          <w:iCs/>
        </w:rPr>
        <w:t>-</w:t>
      </w:r>
      <w:r w:rsidRPr="003F0542">
        <w:rPr>
          <w:i/>
          <w:iCs/>
        </w:rPr>
        <w:t>solving</w:t>
      </w:r>
      <w:r>
        <w:t xml:space="preserve">, </w:t>
      </w:r>
      <w:r w:rsidRPr="003F0542">
        <w:rPr>
          <w:i/>
          <w:iCs/>
        </w:rPr>
        <w:t>decision-making</w:t>
      </w:r>
      <w:r>
        <w:t xml:space="preserve"> in azioni informate; ii) </w:t>
      </w:r>
      <w:r w:rsidRPr="003F0542">
        <w:rPr>
          <w:i/>
          <w:iCs/>
        </w:rPr>
        <w:t>learning to do</w:t>
      </w:r>
      <w:r>
        <w:t xml:space="preserve">: imparare a gestire gli strumenti culturali per agire, cioè ad applicare ciò che si è appreso alle necessità della vita; iii) </w:t>
      </w:r>
      <w:r w:rsidRPr="003F0542">
        <w:rPr>
          <w:i/>
          <w:iCs/>
        </w:rPr>
        <w:t>learning to be</w:t>
      </w:r>
      <w:r>
        <w:t>: imparare l’</w:t>
      </w:r>
      <w:r w:rsidRPr="003F0542">
        <w:rPr>
          <w:i/>
          <w:iCs/>
        </w:rPr>
        <w:t>agency</w:t>
      </w:r>
      <w:r>
        <w:t xml:space="preserve">, cioè apprendere abilità di autoconsapevolezza, autostima, fiducia in sé stesse e in sé stessi, nell’ottica della costruzione dell’identità, della valorizzazione di sé stesse e di sé stessi, della definizione dei propri obiettivi; iv) </w:t>
      </w:r>
      <w:r w:rsidRPr="003F0542">
        <w:rPr>
          <w:i/>
          <w:iCs/>
        </w:rPr>
        <w:t xml:space="preserve">learning to live </w:t>
      </w:r>
      <w:proofErr w:type="spellStart"/>
      <w:r w:rsidRPr="003F0542">
        <w:rPr>
          <w:i/>
          <w:iCs/>
        </w:rPr>
        <w:t>together</w:t>
      </w:r>
      <w:proofErr w:type="spellEnd"/>
      <w:r>
        <w:t xml:space="preserve">: apprendere abilità personali che includono la comunicazione, la negoziazione e tutte quelle abilità che definiscono una persona come un essere sociale; v) </w:t>
      </w:r>
      <w:r w:rsidRPr="003F0542">
        <w:rPr>
          <w:i/>
          <w:iCs/>
        </w:rPr>
        <w:t xml:space="preserve">learning to </w:t>
      </w:r>
      <w:proofErr w:type="spellStart"/>
      <w:r w:rsidRPr="003F0542">
        <w:rPr>
          <w:i/>
          <w:iCs/>
        </w:rPr>
        <w:t>transform</w:t>
      </w:r>
      <w:proofErr w:type="spellEnd"/>
      <w:r w:rsidRPr="003F0542">
        <w:rPr>
          <w:i/>
          <w:iCs/>
        </w:rPr>
        <w:t xml:space="preserve"> </w:t>
      </w:r>
      <w:proofErr w:type="spellStart"/>
      <w:r w:rsidRPr="003F0542">
        <w:rPr>
          <w:i/>
          <w:iCs/>
        </w:rPr>
        <w:t>oneself</w:t>
      </w:r>
      <w:proofErr w:type="spellEnd"/>
      <w:r w:rsidRPr="003F0542">
        <w:rPr>
          <w:i/>
          <w:iCs/>
        </w:rPr>
        <w:t xml:space="preserve"> and society</w:t>
      </w:r>
      <w:r>
        <w:t xml:space="preserve">: comprendere la complessità della dimensione globale come parte della vita quotidiana nelle dimensioni locali, cioè comprendere la relazione di ciascuno con l’ambiente e con le persone con cui si condivide il pianeta. Si tratta, quindi, di educare alla cittadinanza globale con la consapevolezza del proprio ambiente, con la volontà di agire valorizzando le diversità. Questi pilastri della conoscenza saranno orientati, lungo i tre anni del corso, alle </w:t>
      </w:r>
      <w:r w:rsidRPr="0026704F">
        <w:rPr>
          <w:i/>
          <w:iCs/>
        </w:rPr>
        <w:t>expertise</w:t>
      </w:r>
      <w:r>
        <w:t xml:space="preserve"> in ambiti specifici, che costituiranno potenziali percorsi di ricerca e di sviluppo quali: </w:t>
      </w:r>
      <w:proofErr w:type="spellStart"/>
      <w:r>
        <w:rPr>
          <w:i/>
          <w:iCs/>
        </w:rPr>
        <w:t>n</w:t>
      </w:r>
      <w:r w:rsidRPr="0026704F">
        <w:rPr>
          <w:i/>
          <w:iCs/>
        </w:rPr>
        <w:t>atural</w:t>
      </w:r>
      <w:proofErr w:type="spellEnd"/>
      <w:r w:rsidRPr="0026704F">
        <w:rPr>
          <w:i/>
          <w:iCs/>
        </w:rPr>
        <w:t xml:space="preserve"> </w:t>
      </w:r>
      <w:r>
        <w:rPr>
          <w:i/>
          <w:iCs/>
        </w:rPr>
        <w:t>s</w:t>
      </w:r>
      <w:r w:rsidRPr="0026704F">
        <w:rPr>
          <w:i/>
          <w:iCs/>
        </w:rPr>
        <w:t>ciences</w:t>
      </w:r>
      <w:r>
        <w:t xml:space="preserve"> (ricerche per trovare soluzioni alle sfide ambientali come la mitigazione del cambiamento climatico, le </w:t>
      </w:r>
      <w:r w:rsidRPr="0026704F">
        <w:rPr>
          <w:i/>
          <w:iCs/>
        </w:rPr>
        <w:t>nature-</w:t>
      </w:r>
      <w:proofErr w:type="spellStart"/>
      <w:r w:rsidRPr="0026704F">
        <w:rPr>
          <w:i/>
          <w:iCs/>
        </w:rPr>
        <w:t>based</w:t>
      </w:r>
      <w:proofErr w:type="spellEnd"/>
      <w:r w:rsidRPr="0026704F">
        <w:rPr>
          <w:i/>
          <w:iCs/>
        </w:rPr>
        <w:t xml:space="preserve"> </w:t>
      </w:r>
      <w:proofErr w:type="spellStart"/>
      <w:r w:rsidRPr="0026704F">
        <w:rPr>
          <w:i/>
          <w:iCs/>
        </w:rPr>
        <w:t>solutions</w:t>
      </w:r>
      <w:proofErr w:type="spellEnd"/>
      <w:r>
        <w:t xml:space="preserve">, l’uso sostenibile delle risorse, la protezione e il ripristino degli ecosistemi); </w:t>
      </w:r>
      <w:r>
        <w:rPr>
          <w:i/>
          <w:iCs/>
        </w:rPr>
        <w:t>s</w:t>
      </w:r>
      <w:r w:rsidRPr="00E5627A">
        <w:rPr>
          <w:i/>
          <w:iCs/>
        </w:rPr>
        <w:t xml:space="preserve">ocial and </w:t>
      </w:r>
      <w:r>
        <w:rPr>
          <w:i/>
          <w:iCs/>
        </w:rPr>
        <w:t>h</w:t>
      </w:r>
      <w:r w:rsidRPr="00E5627A">
        <w:rPr>
          <w:i/>
          <w:iCs/>
        </w:rPr>
        <w:t xml:space="preserve">uman </w:t>
      </w:r>
      <w:r>
        <w:rPr>
          <w:i/>
          <w:iCs/>
        </w:rPr>
        <w:t>s</w:t>
      </w:r>
      <w:r w:rsidRPr="00E5627A">
        <w:rPr>
          <w:i/>
          <w:iCs/>
        </w:rPr>
        <w:t>ciences</w:t>
      </w:r>
      <w:r>
        <w:t xml:space="preserve"> (ricerche sul ruolo delle scienze umane per la riduzione di diverse forme di povertà e la costruzione di società inclusive, resilienti e democratiche; ricerche per trovare soluzioni alle sfide sociali ed economiche per costruire comunità sostenibili, per implementare una cooperazione internazionale scientifica); culture (ricerche sul ruolo dell’istruzione per la protezione e la salvaguardia dei patrimoni culturali e naturali mondiali, sul supporto alla creatività e a questi settori culturali dinamici che sono fondamentali per combattere la povertà, la diseguaglianza, il divario digitale, ma anche le emergenze umanitarie e i conflitti); </w:t>
      </w:r>
      <w:r>
        <w:rPr>
          <w:i/>
          <w:iCs/>
        </w:rPr>
        <w:t>g</w:t>
      </w:r>
      <w:r w:rsidRPr="00E5627A">
        <w:rPr>
          <w:i/>
          <w:iCs/>
        </w:rPr>
        <w:t xml:space="preserve">ender </w:t>
      </w:r>
      <w:r>
        <w:rPr>
          <w:i/>
          <w:iCs/>
        </w:rPr>
        <w:t>e</w:t>
      </w:r>
      <w:r w:rsidRPr="00E5627A">
        <w:rPr>
          <w:i/>
          <w:iCs/>
        </w:rPr>
        <w:t>quality</w:t>
      </w:r>
      <w:r>
        <w:t xml:space="preserve"> (ricerche per la promozione della libertà, dell’equità e della parità di genere); profili </w:t>
      </w:r>
      <w:proofErr w:type="spellStart"/>
      <w:r>
        <w:t>giuspubblicistici</w:t>
      </w:r>
      <w:proofErr w:type="spellEnd"/>
      <w:r>
        <w:t xml:space="preserve"> della transizione ecologica (ricerche che, muovendo dalla legge costituzionale n. 1 del 2022 di modifica degli artt. 9 e 41 della Costituzione e dalla giurisprudenza sovranazionale in tema di sostenibilità, ne indaghino e ne verifichino le conseguenze, specie sotto il profilo costituzionalistico e del diritto dell’ambiente); economia circolare (ricerche finalizzate ad identificare e applicare modelli di </w:t>
      </w:r>
      <w:r w:rsidRPr="00194418">
        <w:rPr>
          <w:i/>
          <w:iCs/>
        </w:rPr>
        <w:t>business</w:t>
      </w:r>
      <w:r>
        <w:t xml:space="preserve"> circolari e sostenibili e strumenti di supporto alle organizzazioni per il miglioramento dell’eco-efficienza di processo e di prodotto); progettazione </w:t>
      </w:r>
      <w:r>
        <w:lastRenderedPageBreak/>
        <w:t xml:space="preserve">partecipata delle città e dei territori (ricerche sulla progettazione della città incrementale ed adattativa orientata all’uso sapiente delle risorse urbane); energia (ricerche su scenari energetici di decarbonizzazione e tecnologie energetiche sostenibili); cibo sostenibile, diete salutari e protezione della biodiversità (ricerche sul </w:t>
      </w:r>
      <w:r w:rsidRPr="00194418">
        <w:rPr>
          <w:i/>
          <w:iCs/>
        </w:rPr>
        <w:t>water-energy-food-</w:t>
      </w:r>
      <w:proofErr w:type="spellStart"/>
      <w:r w:rsidRPr="00194418">
        <w:rPr>
          <w:i/>
          <w:iCs/>
        </w:rPr>
        <w:t>ecosystems</w:t>
      </w:r>
      <w:proofErr w:type="spellEnd"/>
      <w:r w:rsidRPr="00194418">
        <w:rPr>
          <w:i/>
          <w:iCs/>
        </w:rPr>
        <w:t xml:space="preserve">-WEFE </w:t>
      </w:r>
      <w:proofErr w:type="spellStart"/>
      <w:r w:rsidRPr="00194418">
        <w:rPr>
          <w:i/>
          <w:iCs/>
        </w:rPr>
        <w:t>nexus</w:t>
      </w:r>
      <w:proofErr w:type="spellEnd"/>
      <w:r>
        <w:t xml:space="preserve">); piattaforme collaborative e </w:t>
      </w:r>
      <w:r w:rsidRPr="00194418">
        <w:rPr>
          <w:i/>
          <w:iCs/>
        </w:rPr>
        <w:t>system dynamics</w:t>
      </w:r>
      <w:r>
        <w:t xml:space="preserve"> (ricerche e modelli basati su processi di apprendimento continuo, fondato su una prospettiva causale di rilevazione, analisi e valutazione degli </w:t>
      </w:r>
      <w:proofErr w:type="spellStart"/>
      <w:r w:rsidRPr="00194418">
        <w:rPr>
          <w:i/>
          <w:iCs/>
        </w:rPr>
        <w:t>outcome</w:t>
      </w:r>
      <w:proofErr w:type="spellEnd"/>
      <w:r>
        <w:t xml:space="preserve"> di </w:t>
      </w:r>
      <w:r w:rsidRPr="00194418">
        <w:rPr>
          <w:i/>
          <w:iCs/>
        </w:rPr>
        <w:t>performance</w:t>
      </w:r>
      <w:r>
        <w:t xml:space="preserve"> nella </w:t>
      </w:r>
      <w:r w:rsidRPr="00194418">
        <w:rPr>
          <w:i/>
          <w:iCs/>
        </w:rPr>
        <w:t>governance</w:t>
      </w:r>
      <w:r>
        <w:t xml:space="preserve"> di un determinato contesto, finalizzati anche all’organizzazione di un </w:t>
      </w:r>
      <w:r w:rsidRPr="00194418">
        <w:rPr>
          <w:i/>
          <w:iCs/>
        </w:rPr>
        <w:t>forum</w:t>
      </w:r>
      <w:r>
        <w:t xml:space="preserve"> degli </w:t>
      </w:r>
      <w:r w:rsidRPr="00194418">
        <w:rPr>
          <w:i/>
          <w:iCs/>
        </w:rPr>
        <w:t>stakeholders</w:t>
      </w:r>
      <w:r>
        <w:t xml:space="preserve"> sulla sostenibilità a scala mediterranea).</w:t>
      </w:r>
    </w:p>
    <w:p w14:paraId="0AC973C7" w14:textId="77777777" w:rsidR="00E83924" w:rsidRDefault="00E83924" w:rsidP="00E83924">
      <w:pPr>
        <w:spacing w:after="120"/>
        <w:rPr>
          <w:rFonts w:cs="Calibri"/>
        </w:rPr>
      </w:pPr>
      <w:r w:rsidRPr="007C4C1E">
        <w:t xml:space="preserve">La formazione dei dottorandi e le esperienze di ricerca degli stessi saranno infine orientate in coerenza con i contenuti della </w:t>
      </w:r>
      <w:r>
        <w:t>S</w:t>
      </w:r>
      <w:r w:rsidRPr="007C4C1E">
        <w:t xml:space="preserve">trategia </w:t>
      </w:r>
      <w:r>
        <w:t>N</w:t>
      </w:r>
      <w:r w:rsidRPr="007C4C1E">
        <w:t xml:space="preserve">azionale per lo </w:t>
      </w:r>
      <w:r>
        <w:t>S</w:t>
      </w:r>
      <w:r w:rsidRPr="007C4C1E">
        <w:t xml:space="preserve">viluppo </w:t>
      </w:r>
      <w:r>
        <w:t>S</w:t>
      </w:r>
      <w:r w:rsidRPr="007C4C1E">
        <w:t xml:space="preserve">ostenibile </w:t>
      </w:r>
      <w:r>
        <w:t>approvata nel 2017 (</w:t>
      </w:r>
      <w:r w:rsidRPr="0027098E">
        <w:rPr>
          <w:rFonts w:cs="Calibri"/>
        </w:rPr>
        <w:t>Delibera CIPE n. 108</w:t>
      </w:r>
      <w:r>
        <w:t>) e aggiornata nel 2023 (</w:t>
      </w:r>
      <w:r w:rsidRPr="0027098E">
        <w:rPr>
          <w:rFonts w:cs="Calibri"/>
        </w:rPr>
        <w:t>Delibera CITE n. 1 del 18 settembre 2023</w:t>
      </w:r>
      <w:r>
        <w:t xml:space="preserve">), </w:t>
      </w:r>
      <w:r w:rsidRPr="0027098E">
        <w:rPr>
          <w:rFonts w:cs="Calibri"/>
        </w:rPr>
        <w:t>quadro di riferimento nazionale per i processi di pianificazione, programmazione e valutazione di tipo ambientale e territoriale</w:t>
      </w:r>
      <w:r>
        <w:rPr>
          <w:rFonts w:cs="Calibri"/>
        </w:rPr>
        <w:t>,</w:t>
      </w:r>
      <w:r>
        <w:t xml:space="preserve"> </w:t>
      </w:r>
      <w:r w:rsidRPr="007C4C1E">
        <w:t xml:space="preserve">e </w:t>
      </w:r>
      <w:r>
        <w:t>del</w:t>
      </w:r>
      <w:r w:rsidRPr="007C4C1E">
        <w:t>l</w:t>
      </w:r>
      <w:r w:rsidRPr="00287B39">
        <w:t xml:space="preserve">a Strategia Regionale per lo Sviluppo Sostenibile adottata </w:t>
      </w:r>
      <w:r>
        <w:t xml:space="preserve">recentemente </w:t>
      </w:r>
      <w:r w:rsidRPr="00287B39">
        <w:t>dalla Regione Siciliana (DGR n. 440 dell’08.11.2023)</w:t>
      </w:r>
      <w:r w:rsidRPr="00287B39">
        <w:rPr>
          <w:rFonts w:cs="Calibri"/>
        </w:rPr>
        <w:t xml:space="preserve"> </w:t>
      </w:r>
      <w:r>
        <w:rPr>
          <w:rFonts w:cs="Calibri"/>
        </w:rPr>
        <w:t xml:space="preserve">e </w:t>
      </w:r>
      <w:r w:rsidRPr="00287B39">
        <w:rPr>
          <w:rFonts w:cs="Calibri"/>
        </w:rPr>
        <w:t>che definisce il contributo della regione alla realizzazione degli obiettivi della Strategia di livello nazionale.</w:t>
      </w:r>
    </w:p>
    <w:p w14:paraId="6D6B4785" w14:textId="77777777" w:rsidR="00E83924" w:rsidRDefault="00E83924" w:rsidP="00E83924">
      <w:pPr>
        <w:spacing w:after="120"/>
        <w:rPr>
          <w:rFonts w:cs="Calibri"/>
        </w:rPr>
      </w:pPr>
    </w:p>
    <w:p w14:paraId="47A3BC4A" w14:textId="77777777" w:rsidR="00E83924" w:rsidRPr="009A416F" w:rsidRDefault="00E83924" w:rsidP="00E83924">
      <w:pPr>
        <w:spacing w:after="120"/>
        <w:rPr>
          <w:rFonts w:cs="Calibri"/>
          <w:b/>
          <w:bCs/>
          <w:i/>
          <w:iCs/>
        </w:rPr>
      </w:pPr>
      <w:r>
        <w:rPr>
          <w:rFonts w:cs="Calibri"/>
          <w:b/>
          <w:bCs/>
          <w:i/>
          <w:iCs/>
        </w:rPr>
        <w:t xml:space="preserve">1.2 </w:t>
      </w:r>
      <w:r w:rsidRPr="009E1F25">
        <w:rPr>
          <w:rFonts w:cs="Calibri"/>
          <w:b/>
          <w:bCs/>
          <w:i/>
          <w:iCs/>
        </w:rPr>
        <w:t>Pianificazione e organizzazione delle attività formative e di ricerca</w:t>
      </w:r>
    </w:p>
    <w:p w14:paraId="6F7B5033" w14:textId="77777777" w:rsidR="00E83924" w:rsidRDefault="00E83924" w:rsidP="00E83924">
      <w:pPr>
        <w:spacing w:after="120"/>
        <w:rPr>
          <w:rFonts w:cs="Calibri"/>
        </w:rPr>
      </w:pPr>
      <w:r>
        <w:rPr>
          <w:rFonts w:cs="Calibri"/>
        </w:rPr>
        <w:t>Gli</w:t>
      </w:r>
      <w:r w:rsidRPr="00324EF4">
        <w:rPr>
          <w:rFonts w:cs="Calibri"/>
        </w:rPr>
        <w:t xml:space="preserve"> obiettivi </w:t>
      </w:r>
      <w:r>
        <w:rPr>
          <w:rFonts w:cs="Calibri"/>
        </w:rPr>
        <w:t xml:space="preserve">di formazione </w:t>
      </w:r>
      <w:r w:rsidRPr="00324EF4">
        <w:rPr>
          <w:rFonts w:cs="Calibri"/>
        </w:rPr>
        <w:t xml:space="preserve">saranno raggiunti attraverso l’organizzazione di un </w:t>
      </w:r>
      <w:r w:rsidRPr="00767E8A">
        <w:rPr>
          <w:rFonts w:cs="Calibri"/>
          <w:u w:val="single"/>
        </w:rPr>
        <w:t>percorso formativo</w:t>
      </w:r>
      <w:r w:rsidRPr="00324EF4">
        <w:rPr>
          <w:rFonts w:cs="Calibri"/>
        </w:rPr>
        <w:t xml:space="preserve"> composito che esplicita chiaramente la natura non solo multidisciplinare, ma soprattutto inter</w:t>
      </w:r>
      <w:r>
        <w:rPr>
          <w:rFonts w:cs="Calibri"/>
        </w:rPr>
        <w:t>-</w:t>
      </w:r>
      <w:r w:rsidRPr="00324EF4">
        <w:rPr>
          <w:rFonts w:cs="Calibri"/>
        </w:rPr>
        <w:t xml:space="preserve"> e trans</w:t>
      </w:r>
      <w:r>
        <w:rPr>
          <w:rFonts w:cs="Calibri"/>
        </w:rPr>
        <w:t>-</w:t>
      </w:r>
      <w:r w:rsidRPr="00324EF4">
        <w:rPr>
          <w:rFonts w:cs="Calibri"/>
        </w:rPr>
        <w:t xml:space="preserve">disciplinare del </w:t>
      </w:r>
      <w:r>
        <w:rPr>
          <w:rFonts w:cs="Calibri"/>
        </w:rPr>
        <w:t>Corso di Dottorato</w:t>
      </w:r>
      <w:r w:rsidRPr="00324EF4">
        <w:rPr>
          <w:rFonts w:cs="Calibri"/>
        </w:rPr>
        <w:t xml:space="preserve"> </w:t>
      </w:r>
      <w:r>
        <w:rPr>
          <w:rFonts w:cs="Calibri"/>
        </w:rPr>
        <w:t>di Ricerca in Transizione Ecologica</w:t>
      </w:r>
      <w:r w:rsidRPr="00324EF4">
        <w:rPr>
          <w:rFonts w:cs="Calibri"/>
        </w:rPr>
        <w:t xml:space="preserve">. </w:t>
      </w:r>
    </w:p>
    <w:p w14:paraId="68C0B541" w14:textId="77777777" w:rsidR="00E83924" w:rsidRDefault="00E83924" w:rsidP="00E83924">
      <w:pPr>
        <w:spacing w:after="120"/>
        <w:rPr>
          <w:rFonts w:cs="Calibri"/>
        </w:rPr>
      </w:pPr>
      <w:r>
        <w:t>I Dottori di Ricerca saranno formati su aspetti più generali legati ai principi teorici della sperimentazione e dell’analisi di problemi ambientali che saranno integrati con fondamenti e metodologie proprie di specifici settori strategici (es. ingegneria, economia, medicina, agricoltura, ecologia, matematica, diritto, pedagogia e scienze dell’educazione, progettazione urbanistica) e saranno, pertanto, addestrati a esaminare i problemi legati alla transizione ecologica dal punto di vista interdisciplinare, integrando orizzontalmente la sostenibilità e la transizione ecologica nello sviluppo, nell'attuazione e nelle valutazioni delle soluzioni ai problemi ambientali. In tale prospettiva, i Dottori di Ricerca in Transizione Ecologica matureranno, anche grazie ad un Collegio di Docenti altamente qualificato e marcatamente interdisciplinare, competenze specifiche negli ambiti della sostenibilità, con una visione multidisciplinare finalizzata allo studio e allo sviluppo di nuovi modelli in grado di analizzare sistemi complessi, di approfondire gli aspetti sociali ed etici legati al perseguimento dei 17 Obiettivi di Sviluppo Sostenibile (</w:t>
      </w:r>
      <w:proofErr w:type="spellStart"/>
      <w:r w:rsidRPr="00D55646">
        <w:rPr>
          <w:i/>
          <w:iCs/>
        </w:rPr>
        <w:t>Sustainable</w:t>
      </w:r>
      <w:proofErr w:type="spellEnd"/>
      <w:r w:rsidRPr="00D55646">
        <w:rPr>
          <w:i/>
          <w:iCs/>
        </w:rPr>
        <w:t xml:space="preserve"> Development Goal</w:t>
      </w:r>
      <w:r>
        <w:rPr>
          <w:i/>
          <w:iCs/>
        </w:rPr>
        <w:t>s</w:t>
      </w:r>
      <w:r>
        <w:t xml:space="preserve">, SDG) dettati dall’Agenda ONU 2030, all’identificazione di strategie e soluzioni innovative – partecipative circolari, inclusive e pertanto davvero sostenibili - che possano guidare l’economia e le politiche pubbliche, ma anche le scelte di aziende e altri soggetti, verso un’autentica </w:t>
      </w:r>
      <w:r>
        <w:lastRenderedPageBreak/>
        <w:t>e duratura “transizione ecologica” intesa in tutti i suoi aspetti. In particolare, nell’intento di contestualizzare i diversi, ma interrelati, SDG, il programma di dottorato adotta un approccio sistemico e interdisciplinare.</w:t>
      </w:r>
      <w:r w:rsidRPr="00324EF4">
        <w:rPr>
          <w:rFonts w:cs="Calibri"/>
        </w:rPr>
        <w:t xml:space="preserve"> </w:t>
      </w:r>
    </w:p>
    <w:p w14:paraId="43F65ADA" w14:textId="77777777" w:rsidR="00E83924" w:rsidRDefault="00E83924" w:rsidP="00E83924">
      <w:pPr>
        <w:spacing w:after="120"/>
        <w:rPr>
          <w:rFonts w:cs="Calibri"/>
        </w:rPr>
      </w:pPr>
      <w:r>
        <w:rPr>
          <w:rFonts w:cs="Calibri"/>
        </w:rPr>
        <w:t>I</w:t>
      </w:r>
      <w:r w:rsidRPr="00324EF4">
        <w:rPr>
          <w:rFonts w:cs="Calibri"/>
        </w:rPr>
        <w:t xml:space="preserve">l percorso formativo del </w:t>
      </w:r>
      <w:r>
        <w:rPr>
          <w:rFonts w:cs="Calibri"/>
        </w:rPr>
        <w:t>Corso di Dottorato</w:t>
      </w:r>
      <w:r w:rsidRPr="00324EF4">
        <w:rPr>
          <w:rFonts w:cs="Calibri"/>
        </w:rPr>
        <w:t xml:space="preserve"> di </w:t>
      </w:r>
      <w:r>
        <w:rPr>
          <w:rFonts w:cs="Calibri"/>
        </w:rPr>
        <w:t>R</w:t>
      </w:r>
      <w:r w:rsidRPr="00324EF4">
        <w:rPr>
          <w:rFonts w:cs="Calibri"/>
        </w:rPr>
        <w:t xml:space="preserve">icerca in Transizione Ecologica si compone di corsi specialistici di III livello, attività di ricerca, partecipazione a convegni e scuole, attività seminariali disciplinari ed interdisciplinari, perfezionamento linguistico, periodi di formazione e </w:t>
      </w:r>
      <w:r>
        <w:rPr>
          <w:rFonts w:cs="Calibri"/>
        </w:rPr>
        <w:t xml:space="preserve">di </w:t>
      </w:r>
      <w:r w:rsidRPr="00324EF4">
        <w:rPr>
          <w:rFonts w:cs="Calibri"/>
        </w:rPr>
        <w:t>ricerca in Italia e all’estero, corsi e stage presso enti ed imprese qualificate, redazione della tesi di dottorato e presentazione dei risultati della ricerca</w:t>
      </w:r>
      <w:r>
        <w:rPr>
          <w:rFonts w:cs="Calibri"/>
        </w:rPr>
        <w:t xml:space="preserve"> (v. paragrafo 2.1 per dettagli)</w:t>
      </w:r>
      <w:r w:rsidRPr="00324EF4">
        <w:rPr>
          <w:rFonts w:cs="Calibri"/>
        </w:rPr>
        <w:t xml:space="preserve">. </w:t>
      </w:r>
    </w:p>
    <w:p w14:paraId="5D0827AC" w14:textId="77777777" w:rsidR="00E83924" w:rsidRPr="00324EF4" w:rsidRDefault="00E83924" w:rsidP="00E83924">
      <w:pPr>
        <w:spacing w:after="120"/>
        <w:rPr>
          <w:rFonts w:cs="Calibri"/>
        </w:rPr>
      </w:pPr>
      <w:r w:rsidRPr="00324EF4">
        <w:rPr>
          <w:rFonts w:cs="Calibri"/>
        </w:rPr>
        <w:t xml:space="preserve">Le </w:t>
      </w:r>
      <w:r w:rsidRPr="00274CD9">
        <w:rPr>
          <w:rFonts w:cs="Calibri"/>
          <w:u w:val="single"/>
        </w:rPr>
        <w:t>potenzialità di sviluppo e aggiornamento</w:t>
      </w:r>
      <w:r w:rsidRPr="00324EF4">
        <w:rPr>
          <w:rFonts w:cs="Calibri"/>
        </w:rPr>
        <w:t xml:space="preserve"> del </w:t>
      </w:r>
      <w:r>
        <w:rPr>
          <w:rFonts w:cs="Calibri"/>
        </w:rPr>
        <w:t>Corso di Dottorato</w:t>
      </w:r>
      <w:r w:rsidRPr="00324EF4">
        <w:rPr>
          <w:rFonts w:cs="Calibri"/>
        </w:rPr>
        <w:t xml:space="preserve"> sono molteplici riguardando tematiche oggi centrali nelle strategie </w:t>
      </w:r>
      <w:r>
        <w:rPr>
          <w:rFonts w:cs="Calibri"/>
        </w:rPr>
        <w:t xml:space="preserve">e nelle politiche </w:t>
      </w:r>
      <w:r w:rsidRPr="00324EF4">
        <w:rPr>
          <w:rFonts w:cs="Calibri"/>
        </w:rPr>
        <w:t xml:space="preserve">internazionali. </w:t>
      </w:r>
      <w:r>
        <w:rPr>
          <w:rFonts w:cs="Calibri"/>
        </w:rPr>
        <w:t>Tali potenzialità s</w:t>
      </w:r>
      <w:r w:rsidRPr="00324EF4">
        <w:rPr>
          <w:rFonts w:cs="Calibri"/>
        </w:rPr>
        <w:t xml:space="preserve">aranno garantite attraverso un continuo aggiornamento delle attività formative e soprattutto attraverso i seminari disciplinari e interdisciplinari che saranno tenuti non solo da </w:t>
      </w:r>
      <w:r>
        <w:rPr>
          <w:rFonts w:cs="Calibri"/>
        </w:rPr>
        <w:t>Docent</w:t>
      </w:r>
      <w:r w:rsidRPr="00324EF4">
        <w:rPr>
          <w:rFonts w:cs="Calibri"/>
        </w:rPr>
        <w:t xml:space="preserve">i degli Atenei e dell’istituto del CNR direttamente coinvolti nel Corso, ma anche invitando studiosi di istituzioni anche internazionali e attraverso i periodi di mobilità dei </w:t>
      </w:r>
      <w:r>
        <w:rPr>
          <w:rFonts w:cs="Calibri"/>
        </w:rPr>
        <w:t>Dottoran</w:t>
      </w:r>
      <w:r w:rsidRPr="00324EF4">
        <w:rPr>
          <w:rFonts w:cs="Calibri"/>
        </w:rPr>
        <w:t>di.</w:t>
      </w:r>
    </w:p>
    <w:p w14:paraId="1CE6E075" w14:textId="77777777" w:rsidR="00E83924" w:rsidRDefault="00E83924" w:rsidP="00E83924">
      <w:pPr>
        <w:spacing w:after="120"/>
        <w:rPr>
          <w:rFonts w:cs="Calibri"/>
        </w:rPr>
      </w:pPr>
    </w:p>
    <w:p w14:paraId="603D9C5A" w14:textId="77777777" w:rsidR="00E83924" w:rsidRPr="009A416F" w:rsidRDefault="00E83924" w:rsidP="00E83924">
      <w:pPr>
        <w:spacing w:after="120"/>
        <w:rPr>
          <w:rFonts w:cs="Calibri"/>
          <w:b/>
          <w:bCs/>
          <w:i/>
          <w:iCs/>
        </w:rPr>
      </w:pPr>
      <w:r>
        <w:rPr>
          <w:rFonts w:cs="Calibri"/>
          <w:b/>
          <w:bCs/>
          <w:i/>
          <w:iCs/>
        </w:rPr>
        <w:t>1.3 Obiettivi di mobilità e internazionalizzazione</w:t>
      </w:r>
    </w:p>
    <w:p w14:paraId="36A41D36" w14:textId="77777777" w:rsidR="00E83924" w:rsidRDefault="00E83924" w:rsidP="00E83924">
      <w:pPr>
        <w:spacing w:after="120"/>
        <w:rPr>
          <w:rFonts w:cs="Calibri"/>
        </w:rPr>
      </w:pPr>
      <w:r w:rsidRPr="00324EF4">
        <w:rPr>
          <w:rFonts w:cs="Calibri"/>
        </w:rPr>
        <w:t xml:space="preserve">Il </w:t>
      </w:r>
      <w:r>
        <w:rPr>
          <w:rFonts w:cs="Calibri"/>
        </w:rPr>
        <w:t>Corso di Dottorato</w:t>
      </w:r>
      <w:r w:rsidRPr="00324EF4">
        <w:rPr>
          <w:rFonts w:cs="Calibri"/>
        </w:rPr>
        <w:t xml:space="preserve"> persegue </w:t>
      </w:r>
      <w:r w:rsidRPr="00274CD9">
        <w:rPr>
          <w:rFonts w:cs="Calibri"/>
          <w:u w:val="single"/>
        </w:rPr>
        <w:t>obiettivi di mobilità</w:t>
      </w:r>
      <w:r w:rsidRPr="00324EF4">
        <w:rPr>
          <w:rFonts w:cs="Calibri"/>
        </w:rPr>
        <w:t xml:space="preserve"> insiti nella sua stessa natura di </w:t>
      </w:r>
      <w:r>
        <w:rPr>
          <w:rFonts w:cs="Calibri"/>
        </w:rPr>
        <w:t>d</w:t>
      </w:r>
      <w:r w:rsidRPr="00324EF4">
        <w:rPr>
          <w:rFonts w:cs="Calibri"/>
        </w:rPr>
        <w:t xml:space="preserve">ottorato associato tra </w:t>
      </w:r>
      <w:r>
        <w:rPr>
          <w:rFonts w:cs="Calibri"/>
        </w:rPr>
        <w:t>l’</w:t>
      </w:r>
      <w:r w:rsidRPr="00324EF4">
        <w:rPr>
          <w:rFonts w:cs="Calibri"/>
        </w:rPr>
        <w:t xml:space="preserve">Università </w:t>
      </w:r>
      <w:r>
        <w:rPr>
          <w:rFonts w:cs="Calibri"/>
        </w:rPr>
        <w:t xml:space="preserve">degli Studi </w:t>
      </w:r>
      <w:r w:rsidRPr="00324EF4">
        <w:rPr>
          <w:rFonts w:cs="Calibri"/>
        </w:rPr>
        <w:t>di Palermo</w:t>
      </w:r>
      <w:r>
        <w:rPr>
          <w:rFonts w:cs="Calibri"/>
        </w:rPr>
        <w:t>,</w:t>
      </w:r>
      <w:r w:rsidRPr="00324EF4">
        <w:rPr>
          <w:rFonts w:cs="Calibri"/>
        </w:rPr>
        <w:t xml:space="preserve"> </w:t>
      </w:r>
      <w:r>
        <w:rPr>
          <w:rFonts w:cs="Calibri"/>
        </w:rPr>
        <w:t xml:space="preserve">l’Università degli Studi </w:t>
      </w:r>
      <w:r w:rsidRPr="00324EF4">
        <w:rPr>
          <w:rFonts w:cs="Calibri"/>
        </w:rPr>
        <w:t xml:space="preserve">di Messina e </w:t>
      </w:r>
      <w:r>
        <w:rPr>
          <w:rFonts w:cs="Calibri"/>
        </w:rPr>
        <w:t xml:space="preserve">il </w:t>
      </w:r>
      <w:r w:rsidRPr="00324EF4">
        <w:rPr>
          <w:rFonts w:cs="Calibri"/>
        </w:rPr>
        <w:t xml:space="preserve">CNR-ITAE. Vengono incentivate attività di </w:t>
      </w:r>
      <w:r w:rsidRPr="007E349C">
        <w:rPr>
          <w:rFonts w:cs="Calibri"/>
          <w:i/>
          <w:iCs/>
        </w:rPr>
        <w:t>networking</w:t>
      </w:r>
      <w:r w:rsidRPr="00324EF4">
        <w:rPr>
          <w:rFonts w:cs="Calibri"/>
        </w:rPr>
        <w:t xml:space="preserve"> anche attraverso il riconoscimento di CFU per la partecipazion</w:t>
      </w:r>
      <w:r>
        <w:rPr>
          <w:rFonts w:cs="Calibri"/>
        </w:rPr>
        <w:t>e</w:t>
      </w:r>
      <w:r w:rsidRPr="00324EF4">
        <w:rPr>
          <w:rFonts w:cs="Calibri"/>
        </w:rPr>
        <w:t xml:space="preserve"> a seminari, workshop e</w:t>
      </w:r>
      <w:r>
        <w:rPr>
          <w:rFonts w:cs="Calibri"/>
        </w:rPr>
        <w:t xml:space="preserve"> congressi</w:t>
      </w:r>
      <w:r w:rsidRPr="00324EF4">
        <w:rPr>
          <w:rFonts w:cs="Calibri"/>
        </w:rPr>
        <w:t xml:space="preserve">. Il Corso si pone anche </w:t>
      </w:r>
      <w:r w:rsidRPr="00ED47A4">
        <w:rPr>
          <w:rFonts w:cs="Calibri"/>
          <w:u w:val="single"/>
        </w:rPr>
        <w:t>obiettivi di internazionalizzazione</w:t>
      </w:r>
      <w:r w:rsidRPr="00324EF4">
        <w:rPr>
          <w:rFonts w:cs="Calibri"/>
        </w:rPr>
        <w:t xml:space="preserve"> </w:t>
      </w:r>
      <w:r w:rsidRPr="00A9700F">
        <w:rPr>
          <w:rFonts w:eastAsia="Times New Roman" w:cstheme="minorHAnsi"/>
          <w:lang w:eastAsia="it-IT"/>
        </w:rPr>
        <w:t xml:space="preserve">invitando i </w:t>
      </w:r>
      <w:r>
        <w:rPr>
          <w:rFonts w:eastAsia="Times New Roman" w:cstheme="minorHAnsi"/>
          <w:lang w:eastAsia="it-IT"/>
        </w:rPr>
        <w:t>Dottoran</w:t>
      </w:r>
      <w:r w:rsidRPr="00A9700F">
        <w:rPr>
          <w:rFonts w:eastAsia="Times New Roman" w:cstheme="minorHAnsi"/>
          <w:lang w:eastAsia="it-IT"/>
        </w:rPr>
        <w:t>di ad effettuare mobilità in istituzioni straniere</w:t>
      </w:r>
      <w:r w:rsidRPr="00324EF4">
        <w:rPr>
          <w:rFonts w:cs="Calibri"/>
        </w:rPr>
        <w:t xml:space="preserve">. Inoltre, </w:t>
      </w:r>
      <w:r>
        <w:rPr>
          <w:rFonts w:cs="Calibri"/>
        </w:rPr>
        <w:t>si intende</w:t>
      </w:r>
      <w:r w:rsidRPr="00324EF4">
        <w:rPr>
          <w:rFonts w:cs="Calibri"/>
        </w:rPr>
        <w:t xml:space="preserve"> </w:t>
      </w:r>
      <w:r>
        <w:rPr>
          <w:rFonts w:cs="Calibri"/>
        </w:rPr>
        <w:t xml:space="preserve">avviare </w:t>
      </w:r>
      <w:r w:rsidRPr="00324EF4">
        <w:rPr>
          <w:rFonts w:cs="Calibri"/>
        </w:rPr>
        <w:t xml:space="preserve">percorsi </w:t>
      </w:r>
      <w:r>
        <w:rPr>
          <w:rFonts w:cs="Calibri"/>
        </w:rPr>
        <w:t xml:space="preserve">finalizzati alla </w:t>
      </w:r>
      <w:r w:rsidRPr="00324EF4">
        <w:rPr>
          <w:rFonts w:cs="Calibri"/>
        </w:rPr>
        <w:t>collaborazione tra il CSTE e università straniere con l’obiettivo di formalizzare in maniera strutturat</w:t>
      </w:r>
      <w:r>
        <w:rPr>
          <w:rFonts w:cs="Calibri"/>
        </w:rPr>
        <w:t>a</w:t>
      </w:r>
      <w:r w:rsidRPr="00324EF4">
        <w:rPr>
          <w:rFonts w:cs="Calibri"/>
        </w:rPr>
        <w:t xml:space="preserve"> la mobilità non solo di </w:t>
      </w:r>
      <w:r>
        <w:rPr>
          <w:rFonts w:cs="Calibri"/>
        </w:rPr>
        <w:t>Docent</w:t>
      </w:r>
      <w:r w:rsidRPr="00324EF4">
        <w:rPr>
          <w:rFonts w:cs="Calibri"/>
        </w:rPr>
        <w:t>i</w:t>
      </w:r>
      <w:r>
        <w:rPr>
          <w:rFonts w:cs="Calibri"/>
        </w:rPr>
        <w:t>,</w:t>
      </w:r>
      <w:r w:rsidRPr="00324EF4">
        <w:rPr>
          <w:rFonts w:cs="Calibri"/>
        </w:rPr>
        <w:t xml:space="preserve"> ma anche di studenti e </w:t>
      </w:r>
      <w:r>
        <w:rPr>
          <w:rFonts w:cs="Calibri"/>
        </w:rPr>
        <w:t>Dottoran</w:t>
      </w:r>
      <w:r w:rsidRPr="00324EF4">
        <w:rPr>
          <w:rFonts w:cs="Calibri"/>
        </w:rPr>
        <w:t xml:space="preserve">di, per esempio, attraverso possibili </w:t>
      </w:r>
      <w:proofErr w:type="spellStart"/>
      <w:r w:rsidRPr="00324EF4">
        <w:rPr>
          <w:rFonts w:cs="Calibri"/>
        </w:rPr>
        <w:t>cotutele</w:t>
      </w:r>
      <w:proofErr w:type="spellEnd"/>
      <w:r w:rsidRPr="00324EF4">
        <w:rPr>
          <w:rFonts w:cs="Calibri"/>
        </w:rPr>
        <w:t xml:space="preserve"> </w:t>
      </w:r>
      <w:r>
        <w:rPr>
          <w:rFonts w:cs="Calibri"/>
        </w:rPr>
        <w:t>e/</w:t>
      </w:r>
      <w:r w:rsidRPr="00324EF4">
        <w:rPr>
          <w:rFonts w:cs="Calibri"/>
        </w:rPr>
        <w:t>o doppi titoli.</w:t>
      </w:r>
      <w:r>
        <w:rPr>
          <w:rFonts w:cs="Calibri"/>
        </w:rPr>
        <w:t xml:space="preserve"> </w:t>
      </w:r>
    </w:p>
    <w:p w14:paraId="51016567" w14:textId="77777777" w:rsidR="00E83924" w:rsidRDefault="00E83924" w:rsidP="00E83924">
      <w:pPr>
        <w:spacing w:after="120"/>
        <w:rPr>
          <w:rFonts w:cs="Calibri"/>
        </w:rPr>
      </w:pPr>
    </w:p>
    <w:p w14:paraId="3D9BF084" w14:textId="77777777" w:rsidR="00E83924" w:rsidRPr="009A416F" w:rsidRDefault="00E83924" w:rsidP="00E83924">
      <w:pPr>
        <w:spacing w:after="120"/>
        <w:rPr>
          <w:rFonts w:cs="Calibri"/>
          <w:b/>
          <w:bCs/>
          <w:i/>
          <w:iCs/>
        </w:rPr>
      </w:pPr>
      <w:r>
        <w:rPr>
          <w:rFonts w:cs="Calibri"/>
          <w:b/>
          <w:bCs/>
          <w:i/>
          <w:iCs/>
        </w:rPr>
        <w:t>1.4 Visibilità del corso</w:t>
      </w:r>
    </w:p>
    <w:p w14:paraId="6ED8C758" w14:textId="5778F26D" w:rsidR="00974816" w:rsidRDefault="00E83924" w:rsidP="00974816">
      <w:pPr>
        <w:spacing w:after="120"/>
        <w:rPr>
          <w:rFonts w:cs="Calibri"/>
        </w:rPr>
      </w:pPr>
      <w:r>
        <w:rPr>
          <w:rFonts w:cs="Calibri"/>
        </w:rPr>
        <w:t xml:space="preserve">La </w:t>
      </w:r>
      <w:r w:rsidRPr="00D2017A">
        <w:rPr>
          <w:rFonts w:cs="Calibri"/>
          <w:u w:val="single"/>
        </w:rPr>
        <w:t>visibilità del Corso di Dottorato e delle sue attività</w:t>
      </w:r>
      <w:r w:rsidRPr="00D2017A">
        <w:rPr>
          <w:rFonts w:cs="Calibri"/>
        </w:rPr>
        <w:t xml:space="preserve"> viene garantita attraverso il sito </w:t>
      </w:r>
      <w:r w:rsidRPr="00D2017A">
        <w:rPr>
          <w:rFonts w:cs="Calibri"/>
          <w:i/>
          <w:iCs/>
        </w:rPr>
        <w:t>web</w:t>
      </w:r>
      <w:r w:rsidRPr="00D2017A">
        <w:rPr>
          <w:rFonts w:cs="Calibri"/>
        </w:rPr>
        <w:t xml:space="preserve"> (https://www.unipa.it/dipartimenti/ingegneria/dottorati/transizioneecologica/) con se</w:t>
      </w:r>
      <w:r w:rsidRPr="00324EF4">
        <w:rPr>
          <w:rFonts w:cs="Calibri"/>
        </w:rPr>
        <w:t>zioni dedicate</w:t>
      </w:r>
      <w:r>
        <w:rPr>
          <w:rFonts w:cs="Calibri"/>
        </w:rPr>
        <w:t>,</w:t>
      </w:r>
      <w:r w:rsidRPr="00324EF4">
        <w:rPr>
          <w:rFonts w:cs="Calibri"/>
        </w:rPr>
        <w:t xml:space="preserve"> </w:t>
      </w:r>
      <w:r>
        <w:rPr>
          <w:rFonts w:cs="Calibri"/>
        </w:rPr>
        <w:t xml:space="preserve">sia </w:t>
      </w:r>
      <w:r w:rsidRPr="00324EF4">
        <w:rPr>
          <w:rFonts w:cs="Calibri"/>
        </w:rPr>
        <w:t xml:space="preserve">in lingua italiana </w:t>
      </w:r>
      <w:r>
        <w:rPr>
          <w:rFonts w:cs="Calibri"/>
        </w:rPr>
        <w:t>che in</w:t>
      </w:r>
      <w:r w:rsidRPr="00324EF4">
        <w:rPr>
          <w:rFonts w:cs="Calibri"/>
        </w:rPr>
        <w:t xml:space="preserve"> inglese</w:t>
      </w:r>
      <w:r>
        <w:rPr>
          <w:rFonts w:cs="Calibri"/>
        </w:rPr>
        <w:t>,</w:t>
      </w:r>
      <w:r w:rsidRPr="00324EF4">
        <w:rPr>
          <w:rFonts w:cs="Calibri"/>
        </w:rPr>
        <w:t xml:space="preserve"> alla presentazione e agli obiettivi del Corso, alla composizione del </w:t>
      </w:r>
      <w:r>
        <w:rPr>
          <w:rFonts w:cs="Calibri"/>
        </w:rPr>
        <w:t>Collegi</w:t>
      </w:r>
      <w:r w:rsidRPr="00324EF4">
        <w:rPr>
          <w:rFonts w:cs="Calibri"/>
        </w:rPr>
        <w:t xml:space="preserve">o, agli elenchi dei </w:t>
      </w:r>
      <w:r>
        <w:rPr>
          <w:rFonts w:cs="Calibri"/>
        </w:rPr>
        <w:t>Dottoran</w:t>
      </w:r>
      <w:r w:rsidRPr="00324EF4">
        <w:rPr>
          <w:rFonts w:cs="Calibri"/>
        </w:rPr>
        <w:t xml:space="preserve">di, alle </w:t>
      </w:r>
      <w:r w:rsidRPr="00632FC9">
        <w:rPr>
          <w:rFonts w:cs="Calibri"/>
          <w:i/>
          <w:iCs/>
        </w:rPr>
        <w:t>partnership</w:t>
      </w:r>
      <w:r w:rsidRPr="00324EF4">
        <w:rPr>
          <w:rFonts w:cs="Calibri"/>
        </w:rPr>
        <w:t>, all</w:t>
      </w:r>
      <w:r>
        <w:rPr>
          <w:rFonts w:cs="Calibri"/>
        </w:rPr>
        <w:t>e</w:t>
      </w:r>
      <w:r w:rsidRPr="00324EF4">
        <w:rPr>
          <w:rFonts w:cs="Calibri"/>
        </w:rPr>
        <w:t xml:space="preserve"> attività formative. </w:t>
      </w:r>
      <w:r>
        <w:rPr>
          <w:rFonts w:cs="Calibri"/>
        </w:rPr>
        <w:t xml:space="preserve">Nelle </w:t>
      </w:r>
      <w:r w:rsidRPr="009376C1">
        <w:rPr>
          <w:rFonts w:cs="Calibri"/>
          <w:i/>
          <w:iCs/>
        </w:rPr>
        <w:t>news</w:t>
      </w:r>
      <w:r>
        <w:rPr>
          <w:rFonts w:cs="Calibri"/>
        </w:rPr>
        <w:t xml:space="preserve"> del </w:t>
      </w:r>
      <w:r w:rsidRPr="00324EF4">
        <w:rPr>
          <w:rFonts w:cs="Calibri"/>
        </w:rPr>
        <w:t xml:space="preserve">sito </w:t>
      </w:r>
      <w:r>
        <w:rPr>
          <w:rFonts w:cs="Calibri"/>
        </w:rPr>
        <w:t xml:space="preserve">vengono </w:t>
      </w:r>
      <w:r w:rsidRPr="009376C1">
        <w:rPr>
          <w:rFonts w:cs="Calibri"/>
        </w:rPr>
        <w:t xml:space="preserve">segnalate le occasioni di formazione </w:t>
      </w:r>
      <w:r>
        <w:rPr>
          <w:rFonts w:cs="Calibri"/>
        </w:rPr>
        <w:t>(seminari, workshop, scuole…) organizzate dal CSTE e da varie istituzioni</w:t>
      </w:r>
      <w:r w:rsidRPr="009376C1">
        <w:rPr>
          <w:rFonts w:cs="Calibri"/>
        </w:rPr>
        <w:t xml:space="preserve">. </w:t>
      </w:r>
      <w:r>
        <w:rPr>
          <w:rFonts w:cs="Calibri"/>
        </w:rPr>
        <w:t xml:space="preserve">Il corso partecipa a bandi di Ateneo (es. CORI, </w:t>
      </w:r>
      <w:r w:rsidRPr="00316A10">
        <w:rPr>
          <w:rFonts w:cs="Calibri"/>
        </w:rPr>
        <w:t>contributi per l'avvio e lo sviluppo di collaborazioni internazionali dell'Ateneo</w:t>
      </w:r>
      <w:r>
        <w:rPr>
          <w:rFonts w:cs="Calibri"/>
        </w:rPr>
        <w:t xml:space="preserve">) per aumentare la visibilità e l’attrattività del Corso; le risorse intercettate consentono l’organizzazione di iniziative di carattere internazionale quali </w:t>
      </w:r>
      <w:r w:rsidRPr="00632FC9">
        <w:rPr>
          <w:rFonts w:cs="Calibri"/>
          <w:i/>
          <w:iCs/>
        </w:rPr>
        <w:t>workshop</w:t>
      </w:r>
      <w:r w:rsidRPr="00BF6571">
        <w:rPr>
          <w:rFonts w:cs="Calibri"/>
        </w:rPr>
        <w:t xml:space="preserve"> e seminari in lingua inglese su tematiche inerenti </w:t>
      </w:r>
      <w:r>
        <w:rPr>
          <w:rFonts w:cs="Calibri"/>
        </w:rPr>
        <w:t>a</w:t>
      </w:r>
      <w:r w:rsidRPr="00BF6571">
        <w:rPr>
          <w:rFonts w:cs="Calibri"/>
        </w:rPr>
        <w:t xml:space="preserve">i 17 </w:t>
      </w:r>
      <w:r>
        <w:rPr>
          <w:rFonts w:cs="Calibri"/>
        </w:rPr>
        <w:t>O</w:t>
      </w:r>
      <w:r w:rsidRPr="00BF6571">
        <w:rPr>
          <w:rFonts w:cs="Calibri"/>
        </w:rPr>
        <w:t xml:space="preserve">biettivi di Sviluppo Sostenibile </w:t>
      </w:r>
      <w:r w:rsidRPr="00BF6571">
        <w:rPr>
          <w:rFonts w:cs="Calibri"/>
        </w:rPr>
        <w:lastRenderedPageBreak/>
        <w:t>dell'Agenda 2030 delle Nazioni Unite, coinvolgendo studiosi ed esperti di rilievo internazionale</w:t>
      </w:r>
      <w:r>
        <w:rPr>
          <w:rFonts w:cs="Calibri"/>
        </w:rPr>
        <w:t xml:space="preserve"> e la promozione delle attività del Corso (</w:t>
      </w:r>
      <w:r w:rsidRPr="00D205B3">
        <w:rPr>
          <w:rFonts w:cs="Calibri"/>
          <w:i/>
          <w:iCs/>
        </w:rPr>
        <w:t>merchandising</w:t>
      </w:r>
      <w:r w:rsidRPr="00A73682">
        <w:rPr>
          <w:rFonts w:cs="Calibri"/>
        </w:rPr>
        <w:t xml:space="preserve"> </w:t>
      </w:r>
      <w:proofErr w:type="spellStart"/>
      <w:r w:rsidRPr="00A73682">
        <w:rPr>
          <w:rFonts w:cs="Calibri"/>
        </w:rPr>
        <w:t>unipa</w:t>
      </w:r>
      <w:proofErr w:type="spellEnd"/>
      <w:r w:rsidRPr="00A73682">
        <w:rPr>
          <w:rFonts w:cs="Calibri"/>
        </w:rPr>
        <w:t>, video promozionali, supporto ai corsi in inglese</w:t>
      </w:r>
      <w:r w:rsidRPr="007C4C1E">
        <w:rPr>
          <w:rFonts w:cs="Calibri"/>
        </w:rPr>
        <w:t xml:space="preserve">). Le attività sono sviluppate in forte sinergia con la </w:t>
      </w:r>
      <w:r w:rsidRPr="007C4C1E">
        <w:rPr>
          <w:rFonts w:cs="Calibri"/>
          <w:i/>
          <w:iCs/>
        </w:rPr>
        <w:t>Rete delle Università Sostenibili (RUS)</w:t>
      </w:r>
      <w:r w:rsidRPr="007C4C1E">
        <w:rPr>
          <w:rFonts w:cs="Calibri"/>
        </w:rPr>
        <w:t>. La RUS costituita nel 2016, promossa dalla CRUI - Conferenza dei Rettori delle Università Italiane - è la prima esperienza di coordinamento</w:t>
      </w:r>
      <w:r w:rsidRPr="00B342BA">
        <w:rPr>
          <w:rFonts w:cs="Calibri"/>
        </w:rPr>
        <w:t xml:space="preserve"> e condivisione tra tutti gli Atenei italiani impegnati sui temi della sostenibilità ambientale e della responsabilità sociale</w:t>
      </w:r>
      <w:r>
        <w:rPr>
          <w:rFonts w:cs="Calibri"/>
        </w:rPr>
        <w:t xml:space="preserve"> e ha come finalità </w:t>
      </w:r>
      <w:r w:rsidRPr="00B342BA">
        <w:rPr>
          <w:rFonts w:cs="Calibri"/>
        </w:rPr>
        <w:t xml:space="preserve">principale la diffusione della cultura e delle buone pratiche di sostenibilità, sia all’interno che all’esterno degli Atenei (a livello urbano, regionale, nazionale, internazionale), in modo da incrementare gli impatti positivi in termini ambientali, etici, sociali ed economici delle azioni poste in essere dagli aderenti alla Rete, così da contribuire al raggiungimento degli </w:t>
      </w:r>
      <w:proofErr w:type="spellStart"/>
      <w:r w:rsidRPr="00B342BA">
        <w:rPr>
          <w:rFonts w:cs="Calibri"/>
        </w:rPr>
        <w:t>SDGs</w:t>
      </w:r>
      <w:proofErr w:type="spellEnd"/>
      <w:r w:rsidRPr="00B342BA">
        <w:rPr>
          <w:rFonts w:cs="Calibri"/>
        </w:rPr>
        <w:t>.</w:t>
      </w:r>
      <w:r>
        <w:rPr>
          <w:rFonts w:cs="Calibri"/>
        </w:rPr>
        <w:t xml:space="preserve"> </w:t>
      </w:r>
      <w:r w:rsidR="00974816">
        <w:rPr>
          <w:rFonts w:cs="Calibri"/>
        </w:rPr>
        <w:t xml:space="preserve">Sinergie si sviluppano anche all’interno della sottorete RUSS, </w:t>
      </w:r>
      <w:r w:rsidR="00974816" w:rsidRPr="00974816">
        <w:rPr>
          <w:rFonts w:cs="Calibri"/>
        </w:rPr>
        <w:t>Rete delle Università Siciliane per lo Sviluppo Sostenibile</w:t>
      </w:r>
      <w:r w:rsidR="00974816">
        <w:rPr>
          <w:rFonts w:cs="Calibri"/>
        </w:rPr>
        <w:t xml:space="preserve">, di cui fanno parte le due </w:t>
      </w:r>
      <w:r w:rsidR="00974816" w:rsidRPr="00974816">
        <w:rPr>
          <w:rFonts w:cs="Calibri"/>
        </w:rPr>
        <w:t xml:space="preserve">Università </w:t>
      </w:r>
      <w:r w:rsidR="00974816">
        <w:rPr>
          <w:rFonts w:cs="Calibri"/>
        </w:rPr>
        <w:t xml:space="preserve">consorziate (Palermo e Messina) e l’Università </w:t>
      </w:r>
      <w:r w:rsidR="00974816" w:rsidRPr="00974816">
        <w:rPr>
          <w:rFonts w:cs="Calibri"/>
        </w:rPr>
        <w:t>degli studi di Catania</w:t>
      </w:r>
      <w:r w:rsidR="00974816">
        <w:rPr>
          <w:rFonts w:cs="Calibri"/>
        </w:rPr>
        <w:t xml:space="preserve">- La RUSS, istituita ad aprile 2024, si pone </w:t>
      </w:r>
      <w:r w:rsidR="00974816" w:rsidRPr="00974816">
        <w:rPr>
          <w:rFonts w:cs="Calibri"/>
        </w:rPr>
        <w:t>l'obiettivo di promuovere e favorire la cooperazione tre le tre Università Siciliane finalizzata alla diffusione della cultura e delle buone pratiche di sostenibilità, sia all’interno delle proprie comunità universitarie, sia nei territori di riferimento, alle diverse scale, urbana, regionale e nel contesto del mediterraneo.</w:t>
      </w:r>
    </w:p>
    <w:p w14:paraId="5E8AFEE8" w14:textId="77777777" w:rsidR="00E83924" w:rsidRPr="006548F0" w:rsidRDefault="00E83924" w:rsidP="00E83924">
      <w:pPr>
        <w:spacing w:after="120"/>
        <w:rPr>
          <w:rFonts w:cs="Calibri"/>
        </w:rPr>
      </w:pPr>
      <w:r>
        <w:rPr>
          <w:rFonts w:cs="Calibri"/>
        </w:rPr>
        <w:t xml:space="preserve">Inoltre, il Corso di Dottorato beneficia in termini di visibilità della </w:t>
      </w:r>
      <w:r w:rsidRPr="00DF79C3">
        <w:rPr>
          <w:rFonts w:cs="Calibri"/>
        </w:rPr>
        <w:t xml:space="preserve">molteplicità di rapporti dei </w:t>
      </w:r>
      <w:r>
        <w:rPr>
          <w:rFonts w:cs="Calibri"/>
        </w:rPr>
        <w:t>Docent</w:t>
      </w:r>
      <w:r w:rsidRPr="00DF79C3">
        <w:rPr>
          <w:rFonts w:cs="Calibri"/>
        </w:rPr>
        <w:t xml:space="preserve">i del </w:t>
      </w:r>
      <w:r>
        <w:rPr>
          <w:rFonts w:cs="Calibri"/>
        </w:rPr>
        <w:t>Collegi</w:t>
      </w:r>
      <w:r w:rsidRPr="00DF79C3">
        <w:rPr>
          <w:rFonts w:cs="Calibri"/>
        </w:rPr>
        <w:t xml:space="preserve">o con </w:t>
      </w:r>
      <w:r w:rsidRPr="00AC4CE1">
        <w:rPr>
          <w:rFonts w:cs="Calibri"/>
          <w:i/>
          <w:iCs/>
        </w:rPr>
        <w:t>stakeholder</w:t>
      </w:r>
      <w:r w:rsidRPr="00DF79C3">
        <w:rPr>
          <w:rFonts w:cs="Calibri"/>
        </w:rPr>
        <w:t xml:space="preserve"> nazionali ed </w:t>
      </w:r>
      <w:r>
        <w:rPr>
          <w:rFonts w:cs="Calibri"/>
        </w:rPr>
        <w:t>esteri</w:t>
      </w:r>
      <w:r w:rsidRPr="00DF79C3">
        <w:rPr>
          <w:rFonts w:cs="Calibri"/>
        </w:rPr>
        <w:t xml:space="preserve"> afferenti </w:t>
      </w:r>
      <w:r>
        <w:rPr>
          <w:rFonts w:cs="Calibri"/>
        </w:rPr>
        <w:t xml:space="preserve">ad </w:t>
      </w:r>
      <w:r w:rsidRPr="00DF79C3">
        <w:rPr>
          <w:rFonts w:cs="Calibri"/>
        </w:rPr>
        <w:t>enti di ricerca</w:t>
      </w:r>
      <w:r>
        <w:rPr>
          <w:rFonts w:cs="Calibri"/>
        </w:rPr>
        <w:t xml:space="preserve">, enti pubblici, aziende, </w:t>
      </w:r>
      <w:proofErr w:type="spellStart"/>
      <w:r>
        <w:rPr>
          <w:rFonts w:cs="Calibri"/>
        </w:rPr>
        <w:t>ecc</w:t>
      </w:r>
      <w:proofErr w:type="spellEnd"/>
      <w:r>
        <w:rPr>
          <w:rFonts w:cs="Calibri"/>
        </w:rPr>
        <w:t xml:space="preserve">… </w:t>
      </w:r>
      <w:r w:rsidRPr="006548F0">
        <w:rPr>
          <w:rFonts w:cs="Calibri"/>
        </w:rPr>
        <w:t xml:space="preserve">Il Corso, sebbene attivato solo </w:t>
      </w:r>
      <w:r>
        <w:rPr>
          <w:rFonts w:cs="Calibri"/>
        </w:rPr>
        <w:t>a partire dal</w:t>
      </w:r>
      <w:r w:rsidRPr="006548F0">
        <w:rPr>
          <w:rFonts w:cs="Calibri"/>
        </w:rPr>
        <w:t xml:space="preserve"> ciclo XXXVIII, intende anche impegnarsi nei prossimi anni all'istituzione di una associazione degli </w:t>
      </w:r>
      <w:r w:rsidRPr="00BD76B7">
        <w:rPr>
          <w:rFonts w:cs="Calibri"/>
          <w:i/>
          <w:iCs/>
        </w:rPr>
        <w:t>ex-</w:t>
      </w:r>
      <w:proofErr w:type="spellStart"/>
      <w:r w:rsidRPr="00BD76B7">
        <w:rPr>
          <w:rFonts w:cs="Calibri"/>
          <w:i/>
          <w:iCs/>
        </w:rPr>
        <w:t>Alumni</w:t>
      </w:r>
      <w:proofErr w:type="spellEnd"/>
      <w:r w:rsidRPr="006548F0">
        <w:rPr>
          <w:rFonts w:cs="Calibri"/>
        </w:rPr>
        <w:t xml:space="preserve"> del Dottorato di Ricerca in Transizione Ecologica per creare una comunità con i Dottorandi, valorizzare la comunità dei Dottori di Ricerca, raccogliere e mettere a frutto esperienze, competenze e professionalità sviluppate.</w:t>
      </w:r>
    </w:p>
    <w:p w14:paraId="1561F488" w14:textId="77777777" w:rsidR="00E83924" w:rsidRDefault="00E83924" w:rsidP="00E83924">
      <w:pPr>
        <w:spacing w:after="120"/>
        <w:rPr>
          <w:rFonts w:eastAsia="Times New Roman" w:cs="Calibri"/>
          <w:shd w:val="clear" w:color="auto" w:fill="FFFF00"/>
          <w:lang w:eastAsia="it-IT"/>
        </w:rPr>
      </w:pPr>
    </w:p>
    <w:p w14:paraId="69EECE9C" w14:textId="77777777" w:rsidR="00E83924" w:rsidRPr="00324EF4" w:rsidRDefault="00E83924" w:rsidP="00E83924">
      <w:pPr>
        <w:pStyle w:val="Paragrafoelenco"/>
        <w:numPr>
          <w:ilvl w:val="1"/>
          <w:numId w:val="12"/>
        </w:numPr>
        <w:suppressAutoHyphens/>
        <w:autoSpaceDN w:val="0"/>
        <w:spacing w:after="120"/>
        <w:ind w:left="425" w:hanging="425"/>
        <w:rPr>
          <w:rFonts w:cs="Calibri"/>
          <w:b/>
          <w:bCs/>
          <w:sz w:val="22"/>
          <w:szCs w:val="22"/>
        </w:rPr>
      </w:pPr>
      <w:r w:rsidRPr="00324EF4">
        <w:rPr>
          <w:rFonts w:cs="Calibri"/>
          <w:b/>
          <w:bCs/>
          <w:sz w:val="22"/>
          <w:szCs w:val="22"/>
        </w:rPr>
        <w:t>Pianificazione delle attività di didattica e ricerca</w:t>
      </w:r>
    </w:p>
    <w:p w14:paraId="09792246" w14:textId="77777777" w:rsidR="00E83924" w:rsidRPr="008D27FA" w:rsidRDefault="00E83924" w:rsidP="00E83924">
      <w:pPr>
        <w:spacing w:after="120"/>
        <w:rPr>
          <w:rFonts w:cs="Calibri"/>
          <w:b/>
          <w:bCs/>
          <w:i/>
          <w:iCs/>
        </w:rPr>
      </w:pPr>
      <w:r>
        <w:rPr>
          <w:rFonts w:cs="Calibri"/>
          <w:b/>
          <w:bCs/>
          <w:i/>
          <w:iCs/>
        </w:rPr>
        <w:t xml:space="preserve">2.1 </w:t>
      </w:r>
      <w:r w:rsidRPr="008D27FA">
        <w:rPr>
          <w:rFonts w:cs="Calibri"/>
          <w:b/>
          <w:bCs/>
          <w:i/>
          <w:iCs/>
        </w:rPr>
        <w:t>Attività formative e calendari</w:t>
      </w:r>
      <w:r>
        <w:rPr>
          <w:rFonts w:cs="Calibri"/>
          <w:b/>
          <w:bCs/>
          <w:i/>
          <w:iCs/>
        </w:rPr>
        <w:t>zzazione</w:t>
      </w:r>
    </w:p>
    <w:p w14:paraId="0724849E" w14:textId="77777777" w:rsidR="00E83924" w:rsidRDefault="00E83924" w:rsidP="00E83924">
      <w:pPr>
        <w:shd w:val="clear" w:color="auto" w:fill="FFFFFF"/>
        <w:spacing w:after="120"/>
        <w:rPr>
          <w:rFonts w:cs="Calibri"/>
        </w:rPr>
      </w:pPr>
      <w:r w:rsidRPr="00324EF4">
        <w:rPr>
          <w:rFonts w:cs="Calibri"/>
        </w:rPr>
        <w:t>Al fine del raggiungimento degli obiettivi del Corso, il percorso formativo include attività diversificate che</w:t>
      </w:r>
      <w:r>
        <w:rPr>
          <w:rFonts w:cs="Calibri"/>
        </w:rPr>
        <w:t>,</w:t>
      </w:r>
      <w:r w:rsidRPr="00324EF4">
        <w:rPr>
          <w:rFonts w:cs="Calibri"/>
        </w:rPr>
        <w:t xml:space="preserve"> se da un lato tengono conto della necessità per i </w:t>
      </w:r>
      <w:r>
        <w:rPr>
          <w:rFonts w:cs="Calibri"/>
        </w:rPr>
        <w:t>Dottoran</w:t>
      </w:r>
      <w:r w:rsidRPr="00324EF4">
        <w:rPr>
          <w:rFonts w:cs="Calibri"/>
        </w:rPr>
        <w:t xml:space="preserve">di di acquisire conoscenze </w:t>
      </w:r>
      <w:r>
        <w:rPr>
          <w:rFonts w:cs="Calibri"/>
        </w:rPr>
        <w:t xml:space="preserve">e competenze </w:t>
      </w:r>
      <w:r w:rsidRPr="00324EF4">
        <w:rPr>
          <w:rFonts w:cs="Calibri"/>
        </w:rPr>
        <w:t xml:space="preserve">specialistiche di livello avanzato, allo stesso tempo garantiscono un contesto di </w:t>
      </w:r>
      <w:r>
        <w:rPr>
          <w:rFonts w:cs="Calibri"/>
        </w:rPr>
        <w:t>formazione</w:t>
      </w:r>
      <w:r w:rsidRPr="00324EF4">
        <w:rPr>
          <w:rFonts w:cs="Calibri"/>
        </w:rPr>
        <w:t xml:space="preserve"> e di ricerca inter- e </w:t>
      </w:r>
      <w:r>
        <w:rPr>
          <w:rFonts w:cs="Calibri"/>
        </w:rPr>
        <w:t>trans-</w:t>
      </w:r>
      <w:r w:rsidRPr="00324EF4">
        <w:rPr>
          <w:rFonts w:cs="Calibri"/>
        </w:rPr>
        <w:t>disciplinar</w:t>
      </w:r>
      <w:r>
        <w:rPr>
          <w:rFonts w:cs="Calibri"/>
        </w:rPr>
        <w:t>e</w:t>
      </w:r>
      <w:r w:rsidRPr="00324EF4">
        <w:rPr>
          <w:rFonts w:cs="Calibri"/>
        </w:rPr>
        <w:t xml:space="preserve">. </w:t>
      </w:r>
      <w:r>
        <w:rPr>
          <w:rFonts w:cs="Calibri"/>
        </w:rPr>
        <w:t xml:space="preserve">Pertanto, sono state individuate diverse tipologie </w:t>
      </w:r>
      <w:r w:rsidRPr="00324EF4">
        <w:rPr>
          <w:rFonts w:cs="Calibri"/>
        </w:rPr>
        <w:t xml:space="preserve">di attività </w:t>
      </w:r>
      <w:r>
        <w:rPr>
          <w:rFonts w:cs="Calibri"/>
        </w:rPr>
        <w:t xml:space="preserve">(Tabella 1) </w:t>
      </w:r>
      <w:r w:rsidRPr="00324EF4">
        <w:rPr>
          <w:rFonts w:cs="Calibri"/>
        </w:rPr>
        <w:t xml:space="preserve">descritte nel </w:t>
      </w:r>
      <w:r>
        <w:rPr>
          <w:rFonts w:cs="Calibri"/>
        </w:rPr>
        <w:t>p</w:t>
      </w:r>
      <w:r w:rsidRPr="00324EF4">
        <w:rPr>
          <w:rFonts w:cs="Calibri"/>
        </w:rPr>
        <w:t>rogetto di acc</w:t>
      </w:r>
      <w:r>
        <w:rPr>
          <w:rFonts w:cs="Calibri"/>
        </w:rPr>
        <w:t>r</w:t>
      </w:r>
      <w:r w:rsidRPr="00324EF4">
        <w:rPr>
          <w:rFonts w:cs="Calibri"/>
        </w:rPr>
        <w:t>edi</w:t>
      </w:r>
      <w:r>
        <w:rPr>
          <w:rFonts w:cs="Calibri"/>
        </w:rPr>
        <w:t>ta</w:t>
      </w:r>
      <w:r w:rsidRPr="00324EF4">
        <w:rPr>
          <w:rFonts w:cs="Calibri"/>
        </w:rPr>
        <w:t xml:space="preserve">mento e dettagliate in uno specifico </w:t>
      </w:r>
      <w:r>
        <w:rPr>
          <w:rFonts w:cs="Calibri"/>
        </w:rPr>
        <w:t>R</w:t>
      </w:r>
      <w:r w:rsidRPr="00324EF4">
        <w:rPr>
          <w:rFonts w:cs="Calibri"/>
        </w:rPr>
        <w:t xml:space="preserve">egolamento approvato dal </w:t>
      </w:r>
      <w:r>
        <w:rPr>
          <w:rFonts w:cs="Calibri"/>
        </w:rPr>
        <w:t xml:space="preserve">Collegio dei Docenti per </w:t>
      </w:r>
      <w:r w:rsidRPr="00324EF4">
        <w:rPr>
          <w:rFonts w:cs="Calibri"/>
        </w:rPr>
        <w:t>ogni ciclo de</w:t>
      </w:r>
      <w:r>
        <w:rPr>
          <w:rFonts w:cs="Calibri"/>
        </w:rPr>
        <w:t>l</w:t>
      </w:r>
      <w:r w:rsidRPr="00324EF4">
        <w:rPr>
          <w:rFonts w:cs="Calibri"/>
        </w:rPr>
        <w:t xml:space="preserve"> </w:t>
      </w:r>
      <w:r>
        <w:rPr>
          <w:rFonts w:cs="Calibri"/>
        </w:rPr>
        <w:t>c</w:t>
      </w:r>
      <w:r w:rsidRPr="00324EF4">
        <w:rPr>
          <w:rFonts w:cs="Calibri"/>
        </w:rPr>
        <w:t xml:space="preserve">orso. Le attività sono differenziate da quelle che caratterizzano i percorsi formativi di I e II livello. Nello specifico le attività previste sono: insegnamenti </w:t>
      </w:r>
      <w:r>
        <w:rPr>
          <w:rFonts w:cs="Calibri"/>
        </w:rPr>
        <w:t xml:space="preserve">di III livello attivati nell’ambito del Dottorato in Transizione Ecologica e in altri corsi di dottorato; </w:t>
      </w:r>
      <w:r w:rsidRPr="00324EF4">
        <w:rPr>
          <w:rFonts w:cs="Calibri"/>
        </w:rPr>
        <w:t>corsi di perfezionamento linguistico</w:t>
      </w:r>
      <w:r>
        <w:rPr>
          <w:rFonts w:cs="Calibri"/>
        </w:rPr>
        <w:t>; seminari e corsi specialistici;</w:t>
      </w:r>
      <w:r w:rsidRPr="00324EF4">
        <w:rPr>
          <w:rFonts w:cs="Calibri"/>
        </w:rPr>
        <w:t xml:space="preserve"> </w:t>
      </w:r>
      <w:proofErr w:type="spellStart"/>
      <w:r w:rsidRPr="00F94545">
        <w:rPr>
          <w:rFonts w:cs="Calibri"/>
          <w:i/>
          <w:iCs/>
        </w:rPr>
        <w:t>summer</w:t>
      </w:r>
      <w:proofErr w:type="spellEnd"/>
      <w:r w:rsidRPr="00F94545">
        <w:rPr>
          <w:rFonts w:cs="Calibri"/>
          <w:i/>
          <w:iCs/>
        </w:rPr>
        <w:t xml:space="preserve">/winter </w:t>
      </w:r>
      <w:r>
        <w:rPr>
          <w:rFonts w:cs="Calibri"/>
          <w:i/>
          <w:iCs/>
        </w:rPr>
        <w:t>s</w:t>
      </w:r>
      <w:r w:rsidRPr="00F94545">
        <w:rPr>
          <w:rFonts w:cs="Calibri"/>
          <w:i/>
          <w:iCs/>
        </w:rPr>
        <w:t>chool</w:t>
      </w:r>
      <w:r>
        <w:rPr>
          <w:rFonts w:cs="Calibri"/>
        </w:rPr>
        <w:t xml:space="preserve">, convegni e </w:t>
      </w:r>
      <w:r w:rsidRPr="00F94545">
        <w:rPr>
          <w:rFonts w:cs="Calibri"/>
          <w:i/>
          <w:iCs/>
        </w:rPr>
        <w:t>workshop</w:t>
      </w:r>
      <w:r>
        <w:rPr>
          <w:rFonts w:cs="Calibri"/>
        </w:rPr>
        <w:t xml:space="preserve">, </w:t>
      </w:r>
      <w:r w:rsidRPr="00324EF4">
        <w:rPr>
          <w:rFonts w:cs="Calibri"/>
        </w:rPr>
        <w:t xml:space="preserve">periodi di formazione e </w:t>
      </w:r>
      <w:r>
        <w:rPr>
          <w:rFonts w:cs="Calibri"/>
        </w:rPr>
        <w:t xml:space="preserve">di </w:t>
      </w:r>
      <w:r w:rsidRPr="00324EF4">
        <w:rPr>
          <w:rFonts w:cs="Calibri"/>
        </w:rPr>
        <w:t>ricerca in Italia e all’estero presso università, enti di ricerca (pubblici o privati) ed imprese qualificate</w:t>
      </w:r>
      <w:r>
        <w:rPr>
          <w:rFonts w:cs="Calibri"/>
        </w:rPr>
        <w:t>;</w:t>
      </w:r>
      <w:r w:rsidRPr="00324EF4">
        <w:rPr>
          <w:rFonts w:cs="Calibri"/>
        </w:rPr>
        <w:t xml:space="preserve"> </w:t>
      </w:r>
      <w:r>
        <w:rPr>
          <w:rFonts w:cs="Calibri"/>
        </w:rPr>
        <w:t>a</w:t>
      </w:r>
      <w:r w:rsidRPr="00A96776">
        <w:rPr>
          <w:rFonts w:cs="Calibri"/>
        </w:rPr>
        <w:t xml:space="preserve">ttività di </w:t>
      </w:r>
      <w:r w:rsidRPr="00A96776">
        <w:rPr>
          <w:rFonts w:cs="Calibri"/>
        </w:rPr>
        <w:lastRenderedPageBreak/>
        <w:t>tutorato e attività di didattica integrativa nell’ambito di corsi di laurea triennale e magistrale</w:t>
      </w:r>
      <w:r>
        <w:rPr>
          <w:rFonts w:cs="Calibri"/>
        </w:rPr>
        <w:t>, attività di ricerca e redazione della tesi;</w:t>
      </w:r>
      <w:r w:rsidRPr="00324EF4">
        <w:rPr>
          <w:rFonts w:cs="Calibri"/>
        </w:rPr>
        <w:t xml:space="preserve"> </w:t>
      </w:r>
      <w:r>
        <w:rPr>
          <w:rFonts w:cs="Calibri"/>
        </w:rPr>
        <w:t xml:space="preserve">attività di terza missione; </w:t>
      </w:r>
      <w:r>
        <w:rPr>
          <w:rFonts w:cstheme="minorHAnsi"/>
          <w:color w:val="000000" w:themeColor="text1"/>
        </w:rPr>
        <w:t>s</w:t>
      </w:r>
      <w:r w:rsidRPr="002E72CA">
        <w:rPr>
          <w:rFonts w:cstheme="minorHAnsi"/>
          <w:color w:val="000000" w:themeColor="text1"/>
        </w:rPr>
        <w:t xml:space="preserve">eminari tenuti dal </w:t>
      </w:r>
      <w:r>
        <w:rPr>
          <w:rFonts w:cstheme="minorHAnsi"/>
          <w:color w:val="000000" w:themeColor="text1"/>
        </w:rPr>
        <w:t>D</w:t>
      </w:r>
      <w:r w:rsidRPr="002E72CA">
        <w:rPr>
          <w:rFonts w:cstheme="minorHAnsi"/>
          <w:color w:val="000000" w:themeColor="text1"/>
        </w:rPr>
        <w:t>ottorando inerenti alla tematica del progetto di ricerca</w:t>
      </w:r>
      <w:r>
        <w:rPr>
          <w:rFonts w:cstheme="minorHAnsi"/>
          <w:color w:val="000000" w:themeColor="text1"/>
        </w:rPr>
        <w:t>;</w:t>
      </w:r>
      <w:r>
        <w:rPr>
          <w:rFonts w:cs="Calibri"/>
        </w:rPr>
        <w:t xml:space="preserve"> pubblicazioni e brevetti. </w:t>
      </w:r>
    </w:p>
    <w:p w14:paraId="1F0042D2" w14:textId="77777777" w:rsidR="00E83924" w:rsidRDefault="00E83924" w:rsidP="00E83924">
      <w:pPr>
        <w:shd w:val="clear" w:color="auto" w:fill="FFFFFF"/>
        <w:spacing w:after="120"/>
        <w:rPr>
          <w:rFonts w:cs="Calibri"/>
        </w:rPr>
      </w:pPr>
      <w:r w:rsidRPr="00EB0E79">
        <w:rPr>
          <w:rFonts w:cstheme="minorHAnsi"/>
          <w:color w:val="000000" w:themeColor="text1"/>
        </w:rPr>
        <w:t>L’attività di formazione è espressa in crediti formativi (CFU)</w:t>
      </w:r>
      <w:r>
        <w:rPr>
          <w:rFonts w:cstheme="minorHAnsi"/>
          <w:color w:val="000000" w:themeColor="text1"/>
        </w:rPr>
        <w:t xml:space="preserve">. </w:t>
      </w:r>
      <w:r w:rsidRPr="00324EF4">
        <w:rPr>
          <w:rFonts w:cs="Calibri"/>
        </w:rPr>
        <w:t xml:space="preserve">Il </w:t>
      </w:r>
      <w:r>
        <w:rPr>
          <w:rFonts w:cs="Calibri"/>
        </w:rPr>
        <w:t>Dottoran</w:t>
      </w:r>
      <w:r w:rsidRPr="00324EF4">
        <w:rPr>
          <w:rFonts w:cs="Calibri"/>
        </w:rPr>
        <w:t>do è tenuto ad acquisire complessivamente 180 CFU</w:t>
      </w:r>
      <w:r w:rsidRPr="00DC71D8">
        <w:rPr>
          <w:rFonts w:cs="Calibri"/>
        </w:rPr>
        <w:t xml:space="preserve"> </w:t>
      </w:r>
      <w:r w:rsidRPr="00324EF4">
        <w:rPr>
          <w:rFonts w:cs="Calibri"/>
        </w:rPr>
        <w:t xml:space="preserve">nel triennio, 60 CFU per ogni anno. All’inizio di ciascun anno di corso, il </w:t>
      </w:r>
      <w:r>
        <w:rPr>
          <w:rFonts w:cs="Calibri"/>
        </w:rPr>
        <w:t>Dottoran</w:t>
      </w:r>
      <w:r w:rsidRPr="00324EF4">
        <w:rPr>
          <w:rFonts w:cs="Calibri"/>
        </w:rPr>
        <w:t xml:space="preserve">do, con il supporto del </w:t>
      </w:r>
      <w:r>
        <w:rPr>
          <w:rFonts w:cs="Calibri"/>
        </w:rPr>
        <w:t>T</w:t>
      </w:r>
      <w:r w:rsidRPr="00324EF4">
        <w:rPr>
          <w:rFonts w:cs="Calibri"/>
        </w:rPr>
        <w:t>utor, elabora una proposta di massima (almeno 60 CFU) di attività formative da svolgere che potrà, però, essere modificat</w:t>
      </w:r>
      <w:r>
        <w:rPr>
          <w:rFonts w:cs="Calibri"/>
        </w:rPr>
        <w:t>a</w:t>
      </w:r>
      <w:r w:rsidRPr="00324EF4">
        <w:rPr>
          <w:rFonts w:cs="Calibri"/>
        </w:rPr>
        <w:t xml:space="preserve"> o integrat</w:t>
      </w:r>
      <w:r>
        <w:rPr>
          <w:rFonts w:cs="Calibri"/>
        </w:rPr>
        <w:t>a</w:t>
      </w:r>
      <w:r w:rsidRPr="00324EF4">
        <w:rPr>
          <w:rFonts w:cs="Calibri"/>
        </w:rPr>
        <w:t xml:space="preserve"> nel corso dell’anno. Nell’arco dei tre anni di corso, il </w:t>
      </w:r>
      <w:r>
        <w:rPr>
          <w:rFonts w:cs="Calibri"/>
        </w:rPr>
        <w:t>Dottoran</w:t>
      </w:r>
      <w:r w:rsidRPr="00324EF4">
        <w:rPr>
          <w:rFonts w:cs="Calibri"/>
        </w:rPr>
        <w:t>do è tenuto ad inserire nel piano delle attività didattiche derivanti da insegnamenti attivati nell’ambito di corsi di dottorato (insegnamenti di III livello)</w:t>
      </w:r>
      <w:r>
        <w:rPr>
          <w:rFonts w:cs="Calibri"/>
        </w:rPr>
        <w:t xml:space="preserve"> (Tabella 2)</w:t>
      </w:r>
      <w:r w:rsidRPr="00324EF4">
        <w:rPr>
          <w:rFonts w:cs="Calibri"/>
        </w:rPr>
        <w:t>; ai fini dell’attribuzione dei crediti formativi degli insegnamenti, è necessario il superamento di una verifica finale. La frequenza di seminari, corsi</w:t>
      </w:r>
      <w:r>
        <w:rPr>
          <w:rFonts w:cs="Calibri"/>
        </w:rPr>
        <w:t xml:space="preserve">, scuole, </w:t>
      </w:r>
      <w:proofErr w:type="spellStart"/>
      <w:r>
        <w:rPr>
          <w:rFonts w:cs="Calibri"/>
        </w:rPr>
        <w:t>ecc</w:t>
      </w:r>
      <w:proofErr w:type="spellEnd"/>
      <w:r>
        <w:rPr>
          <w:rFonts w:cs="Calibri"/>
        </w:rPr>
        <w:t xml:space="preserve">… </w:t>
      </w:r>
      <w:r w:rsidRPr="00324EF4">
        <w:rPr>
          <w:rFonts w:cs="Calibri"/>
        </w:rPr>
        <w:t xml:space="preserve">consente ai </w:t>
      </w:r>
      <w:r>
        <w:rPr>
          <w:rFonts w:cs="Calibri"/>
        </w:rPr>
        <w:t>Dottoran</w:t>
      </w:r>
      <w:r w:rsidRPr="00324EF4">
        <w:rPr>
          <w:rFonts w:cs="Calibri"/>
        </w:rPr>
        <w:t xml:space="preserve">di l’acquisizione dei crediti formativi tramite l’ottenimento dell’attestato finale. </w:t>
      </w:r>
      <w:r w:rsidRPr="00603E0C">
        <w:rPr>
          <w:rFonts w:cs="Calibri"/>
        </w:rPr>
        <w:t xml:space="preserve">Le attività di formazione, così come quelle di ricerca, sono distribuite fra le sedi del </w:t>
      </w:r>
      <w:r>
        <w:rPr>
          <w:rFonts w:cs="Calibri"/>
        </w:rPr>
        <w:t>d</w:t>
      </w:r>
      <w:r w:rsidRPr="00603E0C">
        <w:rPr>
          <w:rFonts w:cs="Calibri"/>
        </w:rPr>
        <w:t>ottorato associato</w:t>
      </w:r>
      <w:r>
        <w:rPr>
          <w:rFonts w:cs="Calibri"/>
        </w:rPr>
        <w:t>;</w:t>
      </w:r>
      <w:r w:rsidRPr="00603E0C">
        <w:rPr>
          <w:rFonts w:cs="Calibri"/>
        </w:rPr>
        <w:t xml:space="preserve"> insegnamenti sono proposti e tenuti dai </w:t>
      </w:r>
      <w:r>
        <w:rPr>
          <w:rFonts w:cs="Calibri"/>
        </w:rPr>
        <w:t>Docent</w:t>
      </w:r>
      <w:r w:rsidRPr="00603E0C">
        <w:rPr>
          <w:rFonts w:cs="Calibri"/>
        </w:rPr>
        <w:t>i delle Università di Palermo e di Messina</w:t>
      </w:r>
      <w:r>
        <w:rPr>
          <w:rFonts w:cs="Calibri"/>
        </w:rPr>
        <w:t xml:space="preserve"> e dal </w:t>
      </w:r>
      <w:r w:rsidRPr="00683CB3">
        <w:rPr>
          <w:rFonts w:cs="Calibri"/>
        </w:rPr>
        <w:t>CNR, Istituto di Tecnologie Avanzate per l'Energia "Nicola Giordano"</w:t>
      </w:r>
      <w:r w:rsidRPr="00603E0C">
        <w:rPr>
          <w:rFonts w:cs="Calibri"/>
        </w:rPr>
        <w:t>, così come i seminari</w:t>
      </w:r>
      <w:r>
        <w:rPr>
          <w:rFonts w:cs="Calibri"/>
        </w:rPr>
        <w:t xml:space="preserve"> organizzati dal Corso di Dottorato</w:t>
      </w:r>
      <w:r w:rsidRPr="00603E0C">
        <w:rPr>
          <w:rFonts w:cs="Calibri"/>
        </w:rPr>
        <w:t>.</w:t>
      </w:r>
    </w:p>
    <w:p w14:paraId="68102636" w14:textId="77777777" w:rsidR="00E83924" w:rsidRDefault="00E83924" w:rsidP="00E83924">
      <w:pPr>
        <w:shd w:val="clear" w:color="auto" w:fill="FFFFFF"/>
        <w:spacing w:after="120"/>
        <w:rPr>
          <w:rFonts w:cs="Calibri"/>
        </w:rPr>
      </w:pPr>
      <w:r w:rsidRPr="00324EF4">
        <w:rPr>
          <w:rFonts w:cs="Calibri"/>
        </w:rPr>
        <w:t xml:space="preserve">Il </w:t>
      </w:r>
      <w:r>
        <w:rPr>
          <w:rFonts w:cs="Calibri"/>
        </w:rPr>
        <w:t>Dottoran</w:t>
      </w:r>
      <w:r w:rsidRPr="00324EF4">
        <w:rPr>
          <w:rFonts w:cs="Calibri"/>
        </w:rPr>
        <w:t xml:space="preserve">do può svolgere, come parte integrante del progetto formativo, previo nulla osta del </w:t>
      </w:r>
      <w:r>
        <w:rPr>
          <w:rFonts w:cs="Calibri"/>
        </w:rPr>
        <w:t xml:space="preserve">Collegio dei Docenti </w:t>
      </w:r>
      <w:r w:rsidRPr="00324EF4">
        <w:rPr>
          <w:rFonts w:cs="Calibri"/>
        </w:rPr>
        <w:t>e senza incremento dell’importo della borsa di studio, attività di tutorato, anche retribuita, degli studenti dei corsi di laurea e di laurea magistrale, nonché, entro il limite di quaranta ore per ciascun anno accademico, attività di didattica integrativa.</w:t>
      </w:r>
      <w:r>
        <w:rPr>
          <w:rFonts w:cs="Calibri"/>
        </w:rPr>
        <w:t xml:space="preserve"> </w:t>
      </w:r>
    </w:p>
    <w:p w14:paraId="4E96E119" w14:textId="77777777" w:rsidR="00E83924" w:rsidRDefault="00E83924" w:rsidP="00E83924">
      <w:pPr>
        <w:shd w:val="clear" w:color="auto" w:fill="FFFFFF"/>
        <w:spacing w:after="120"/>
        <w:rPr>
          <w:rFonts w:cs="Calibri"/>
        </w:rPr>
      </w:pPr>
      <w:r w:rsidRPr="00324EF4">
        <w:rPr>
          <w:rFonts w:cs="Calibri"/>
        </w:rPr>
        <w:t xml:space="preserve">I </w:t>
      </w:r>
      <w:r>
        <w:rPr>
          <w:rFonts w:cs="Calibri"/>
        </w:rPr>
        <w:t>Dottoran</w:t>
      </w:r>
      <w:r w:rsidRPr="00324EF4">
        <w:rPr>
          <w:rFonts w:cs="Calibri"/>
        </w:rPr>
        <w:t xml:space="preserve">di vengono coinvolti in attività editoriali </w:t>
      </w:r>
      <w:r>
        <w:rPr>
          <w:rFonts w:cs="Calibri"/>
        </w:rPr>
        <w:t>di cui il CSTE e il Corso di Dott</w:t>
      </w:r>
      <w:r w:rsidRPr="00787E94">
        <w:rPr>
          <w:rFonts w:cs="Calibri"/>
        </w:rPr>
        <w:t xml:space="preserve">orato sono promotori. Di recente creazione è, ad esempio, la serie scientifica </w:t>
      </w:r>
      <w:proofErr w:type="gramStart"/>
      <w:r w:rsidRPr="00787E94">
        <w:rPr>
          <w:rFonts w:cs="Calibri"/>
        </w:rPr>
        <w:t>multidisciplinare ”Sostenibilità</w:t>
      </w:r>
      <w:proofErr w:type="gramEnd"/>
      <w:r w:rsidRPr="00787E94">
        <w:rPr>
          <w:rFonts w:cs="Calibri"/>
        </w:rPr>
        <w:t xml:space="preserve"> e Transizione Ecologica” per lo studio del cambiamento dei paradigmi di sviluppo e della transizione </w:t>
      </w:r>
      <w:proofErr w:type="gramStart"/>
      <w:r w:rsidRPr="00787E94">
        <w:rPr>
          <w:rFonts w:cs="Calibri"/>
        </w:rPr>
        <w:t>ecologica  a</w:t>
      </w:r>
      <w:proofErr w:type="gramEnd"/>
      <w:r w:rsidRPr="00787E94">
        <w:rPr>
          <w:rFonts w:cs="Calibri"/>
        </w:rPr>
        <w:t xml:space="preserve"> cura del CSTE e edita da Palermo University Press. I dottorandi a partire dal secondo anno sono invitati a pubblicare sintesi delle attività svolte e della tesi, mentre le tesi di particolare interesse e rilievo potranno essere pubblicate integralmente.</w:t>
      </w:r>
    </w:p>
    <w:p w14:paraId="0D46631D" w14:textId="77777777" w:rsidR="00E83924" w:rsidRDefault="00E83924" w:rsidP="00E83924">
      <w:pPr>
        <w:shd w:val="clear" w:color="auto" w:fill="FFFFFF"/>
        <w:spacing w:after="120"/>
        <w:rPr>
          <w:rFonts w:cs="Calibri"/>
        </w:rPr>
      </w:pPr>
      <w:r>
        <w:rPr>
          <w:rFonts w:cs="Calibri"/>
        </w:rPr>
        <w:t xml:space="preserve">I Dottorandi sono inoltre formati per acquisire competenze sulla </w:t>
      </w:r>
      <w:r w:rsidRPr="00324EF4">
        <w:rPr>
          <w:rFonts w:cs="Calibri"/>
        </w:rPr>
        <w:t xml:space="preserve">comunicazione e disseminazione </w:t>
      </w:r>
      <w:r>
        <w:rPr>
          <w:rFonts w:cs="Calibri"/>
        </w:rPr>
        <w:t xml:space="preserve">dei risultati delle ricerche condotte tramite la partecipazione a seminari e </w:t>
      </w:r>
      <w:r w:rsidRPr="00324EF4">
        <w:rPr>
          <w:rFonts w:cs="Calibri"/>
        </w:rPr>
        <w:t xml:space="preserve">la partecipazione a </w:t>
      </w:r>
      <w:r w:rsidRPr="00CA5FFA">
        <w:rPr>
          <w:rFonts w:cs="Calibri"/>
          <w:i/>
          <w:iCs/>
        </w:rPr>
        <w:t>workshop</w:t>
      </w:r>
      <w:r w:rsidRPr="00324EF4">
        <w:rPr>
          <w:rFonts w:cs="Calibri"/>
        </w:rPr>
        <w:t xml:space="preserve"> e congressi. </w:t>
      </w:r>
    </w:p>
    <w:p w14:paraId="6054F9A5" w14:textId="77777777" w:rsidR="00E83924" w:rsidRPr="00324EF4" w:rsidRDefault="00E83924" w:rsidP="00E83924">
      <w:pPr>
        <w:shd w:val="clear" w:color="auto" w:fill="FFFFFF"/>
        <w:spacing w:after="120"/>
        <w:rPr>
          <w:rFonts w:cs="Calibri"/>
        </w:rPr>
      </w:pPr>
      <w:r w:rsidRPr="00324EF4">
        <w:rPr>
          <w:rFonts w:cs="Calibri"/>
        </w:rPr>
        <w:t xml:space="preserve">L’approfondimento linguistico è garantito dalle attività </w:t>
      </w:r>
      <w:r>
        <w:rPr>
          <w:rFonts w:cs="Calibri"/>
        </w:rPr>
        <w:t xml:space="preserve">organizzate </w:t>
      </w:r>
      <w:r w:rsidRPr="00324EF4">
        <w:rPr>
          <w:rFonts w:cs="Calibri"/>
        </w:rPr>
        <w:t>da</w:t>
      </w:r>
      <w:r>
        <w:rPr>
          <w:rFonts w:cs="Calibri"/>
        </w:rPr>
        <w:t xml:space="preserve">i </w:t>
      </w:r>
      <w:r>
        <w:rPr>
          <w:rFonts w:cstheme="minorHAnsi"/>
          <w:color w:val="000000" w:themeColor="text1"/>
        </w:rPr>
        <w:t>centri l</w:t>
      </w:r>
      <w:r w:rsidRPr="00536B02">
        <w:rPr>
          <w:rFonts w:cstheme="minorHAnsi"/>
          <w:color w:val="000000" w:themeColor="text1"/>
        </w:rPr>
        <w:t>inguistic</w:t>
      </w:r>
      <w:r>
        <w:rPr>
          <w:rFonts w:cstheme="minorHAnsi"/>
          <w:color w:val="000000" w:themeColor="text1"/>
        </w:rPr>
        <w:t>i</w:t>
      </w:r>
      <w:r w:rsidRPr="00536B02">
        <w:rPr>
          <w:rFonts w:cstheme="minorHAnsi"/>
          <w:color w:val="000000" w:themeColor="text1"/>
        </w:rPr>
        <w:t xml:space="preserve"> </w:t>
      </w:r>
      <w:r>
        <w:rPr>
          <w:rFonts w:cstheme="minorHAnsi"/>
          <w:color w:val="000000" w:themeColor="text1"/>
        </w:rPr>
        <w:t xml:space="preserve">degli Atenei consorziati </w:t>
      </w:r>
      <w:r>
        <w:rPr>
          <w:rFonts w:cs="Calibri"/>
        </w:rPr>
        <w:t xml:space="preserve">che erogano </w:t>
      </w:r>
      <w:r w:rsidRPr="00324EF4">
        <w:rPr>
          <w:rFonts w:cs="Calibri"/>
        </w:rPr>
        <w:t xml:space="preserve">corsi </w:t>
      </w:r>
      <w:r>
        <w:rPr>
          <w:rFonts w:cs="Calibri"/>
        </w:rPr>
        <w:t xml:space="preserve">anche </w:t>
      </w:r>
      <w:r w:rsidRPr="00CA5FFA">
        <w:rPr>
          <w:rFonts w:cs="Calibri"/>
          <w:i/>
          <w:iCs/>
        </w:rPr>
        <w:t>online</w:t>
      </w:r>
      <w:r w:rsidRPr="00324EF4">
        <w:rPr>
          <w:rFonts w:cs="Calibri"/>
        </w:rPr>
        <w:t xml:space="preserve"> disponibili gratuitamente per gli studenti </w:t>
      </w:r>
      <w:r>
        <w:rPr>
          <w:rFonts w:cs="Calibri"/>
        </w:rPr>
        <w:t>di dottorato</w:t>
      </w:r>
      <w:r w:rsidRPr="00324EF4">
        <w:rPr>
          <w:rFonts w:cs="Calibri"/>
        </w:rPr>
        <w:t xml:space="preserve"> </w:t>
      </w:r>
      <w:r>
        <w:rPr>
          <w:rFonts w:cs="Calibri"/>
        </w:rPr>
        <w:t>(nella Tabella 3 si riportano a titolo esemplificativo quelli erogati dall’Ateneo di Palermo)</w:t>
      </w:r>
      <w:r w:rsidRPr="00324EF4">
        <w:rPr>
          <w:rFonts w:cs="Calibri"/>
        </w:rPr>
        <w:t>.</w:t>
      </w:r>
    </w:p>
    <w:p w14:paraId="36FA0BEE" w14:textId="77777777" w:rsidR="00E83924" w:rsidRPr="00324EF4" w:rsidRDefault="00E83924" w:rsidP="00E83924">
      <w:pPr>
        <w:spacing w:after="120"/>
        <w:rPr>
          <w:rFonts w:cs="Calibri"/>
        </w:rPr>
      </w:pPr>
      <w:r w:rsidRPr="00324EF4">
        <w:rPr>
          <w:rFonts w:cs="Calibri"/>
        </w:rPr>
        <w:t xml:space="preserve">I </w:t>
      </w:r>
      <w:r>
        <w:rPr>
          <w:rFonts w:cs="Calibri"/>
        </w:rPr>
        <w:t>Dottoran</w:t>
      </w:r>
      <w:r w:rsidRPr="00324EF4">
        <w:rPr>
          <w:rFonts w:cs="Calibri"/>
        </w:rPr>
        <w:t xml:space="preserve">di vengono correntemente coinvolti anche nelle numerose </w:t>
      </w:r>
      <w:r w:rsidRPr="009E1F25">
        <w:rPr>
          <w:rFonts w:cs="Calibri"/>
          <w:u w:val="single"/>
        </w:rPr>
        <w:t>attività di terza missione</w:t>
      </w:r>
      <w:r w:rsidRPr="00324EF4">
        <w:rPr>
          <w:rFonts w:cs="Calibri"/>
        </w:rPr>
        <w:t xml:space="preserve"> promosse dal CSTE per le quali supportano l’organizzazione e la pubblicizzazione. Si ricorda</w:t>
      </w:r>
      <w:r>
        <w:rPr>
          <w:rFonts w:cs="Calibri"/>
        </w:rPr>
        <w:t>,</w:t>
      </w:r>
      <w:r w:rsidRPr="00324EF4">
        <w:rPr>
          <w:rFonts w:cs="Calibri"/>
        </w:rPr>
        <w:t xml:space="preserve"> a titolo esemplificativo</w:t>
      </w:r>
      <w:r>
        <w:rPr>
          <w:rFonts w:cs="Calibri"/>
        </w:rPr>
        <w:t>,</w:t>
      </w:r>
      <w:r w:rsidRPr="00324EF4">
        <w:rPr>
          <w:rFonts w:cs="Calibri"/>
        </w:rPr>
        <w:t xml:space="preserve"> il coinvolgimento negli eventi </w:t>
      </w:r>
      <w:r>
        <w:rPr>
          <w:rFonts w:cs="Calibri"/>
        </w:rPr>
        <w:t xml:space="preserve">annualmente </w:t>
      </w:r>
      <w:r w:rsidRPr="00324EF4">
        <w:rPr>
          <w:rFonts w:cs="Calibri"/>
        </w:rPr>
        <w:t xml:space="preserve">organizzati dal CSTE nell’ambito del Festival dello Sviluppo </w:t>
      </w:r>
      <w:r w:rsidRPr="00324EF4">
        <w:rPr>
          <w:rFonts w:cs="Calibri"/>
        </w:rPr>
        <w:lastRenderedPageBreak/>
        <w:t>Sostenibile promosso dall’A</w:t>
      </w:r>
      <w:r>
        <w:rPr>
          <w:rFonts w:cs="Calibri"/>
        </w:rPr>
        <w:t xml:space="preserve">lleanza </w:t>
      </w:r>
      <w:proofErr w:type="gramStart"/>
      <w:r>
        <w:rPr>
          <w:rFonts w:cs="Calibri"/>
        </w:rPr>
        <w:t>Italiana</w:t>
      </w:r>
      <w:proofErr w:type="gramEnd"/>
      <w:r>
        <w:rPr>
          <w:rFonts w:cs="Calibri"/>
        </w:rPr>
        <w:t xml:space="preserve"> per lo Sviluppo Sostenibile, A</w:t>
      </w:r>
      <w:r w:rsidRPr="00324EF4">
        <w:rPr>
          <w:rFonts w:cs="Calibri"/>
        </w:rPr>
        <w:t>SviS</w:t>
      </w:r>
      <w:r>
        <w:rPr>
          <w:rFonts w:cs="Calibri"/>
        </w:rPr>
        <w:t>,</w:t>
      </w:r>
      <w:r w:rsidRPr="00324EF4">
        <w:rPr>
          <w:rFonts w:cs="Calibri"/>
        </w:rPr>
        <w:t xml:space="preserve"> e</w:t>
      </w:r>
      <w:r>
        <w:rPr>
          <w:rFonts w:cs="Calibri"/>
        </w:rPr>
        <w:t xml:space="preserve"> </w:t>
      </w:r>
      <w:r w:rsidRPr="00324EF4">
        <w:rPr>
          <w:rFonts w:cs="Calibri"/>
        </w:rPr>
        <w:t>della Notte dei Ricercatori SHARPER</w:t>
      </w:r>
      <w:r>
        <w:rPr>
          <w:rFonts w:cs="Calibri"/>
        </w:rPr>
        <w:t>.</w:t>
      </w:r>
    </w:p>
    <w:p w14:paraId="31A86CE6" w14:textId="77777777" w:rsidR="00E83924" w:rsidRDefault="00E83924" w:rsidP="00E83924">
      <w:pPr>
        <w:shd w:val="clear" w:color="auto" w:fill="FFFFFF"/>
        <w:spacing w:after="120"/>
        <w:rPr>
          <w:rFonts w:cs="Calibri"/>
        </w:rPr>
      </w:pPr>
      <w:r>
        <w:rPr>
          <w:rFonts w:cs="Calibri"/>
        </w:rPr>
        <w:t xml:space="preserve">Il dottorato associato fa parte della </w:t>
      </w:r>
      <w:r w:rsidRPr="00575A7F">
        <w:rPr>
          <w:rFonts w:cs="Calibri"/>
        </w:rPr>
        <w:t xml:space="preserve">Scuola di Dottorato di Ricerca </w:t>
      </w:r>
      <w:r>
        <w:rPr>
          <w:rFonts w:cs="Calibri"/>
        </w:rPr>
        <w:t xml:space="preserve">recentemente istituita presso </w:t>
      </w:r>
      <w:r w:rsidRPr="00575A7F">
        <w:rPr>
          <w:rFonts w:cs="Calibri"/>
        </w:rPr>
        <w:t xml:space="preserve">l’Ateneo di Palermo </w:t>
      </w:r>
      <w:r>
        <w:rPr>
          <w:rFonts w:cs="Calibri"/>
        </w:rPr>
        <w:t>che ha</w:t>
      </w:r>
      <w:r w:rsidRPr="00575A7F">
        <w:rPr>
          <w:rFonts w:cs="Calibri"/>
        </w:rPr>
        <w:t xml:space="preserve"> un ruolo importante nel coordinamento </w:t>
      </w:r>
      <w:r>
        <w:rPr>
          <w:rFonts w:cs="Calibri"/>
        </w:rPr>
        <w:t xml:space="preserve">di alcune attività formative </w:t>
      </w:r>
      <w:r w:rsidRPr="00575A7F">
        <w:rPr>
          <w:rFonts w:cs="Calibri"/>
        </w:rPr>
        <w:t xml:space="preserve">soprattutto </w:t>
      </w:r>
      <w:r>
        <w:rPr>
          <w:rFonts w:cs="Calibri"/>
        </w:rPr>
        <w:t xml:space="preserve">relativamente alle competenze </w:t>
      </w:r>
      <w:r w:rsidRPr="00575A7F">
        <w:rPr>
          <w:rFonts w:cs="Calibri"/>
        </w:rPr>
        <w:t>trasversali (es</w:t>
      </w:r>
      <w:r>
        <w:rPr>
          <w:rFonts w:cs="Calibri"/>
        </w:rPr>
        <w:t>.</w:t>
      </w:r>
      <w:r w:rsidRPr="00575A7F">
        <w:rPr>
          <w:rFonts w:cs="Calibri"/>
        </w:rPr>
        <w:t xml:space="preserve"> attività interdisciplinari, attività imprenditoriale, </w:t>
      </w:r>
      <w:r w:rsidRPr="00B07179">
        <w:rPr>
          <w:rFonts w:cs="Calibri"/>
          <w:i/>
          <w:iCs/>
        </w:rPr>
        <w:t>open science</w:t>
      </w:r>
      <w:r w:rsidRPr="00575A7F">
        <w:rPr>
          <w:rFonts w:cs="Calibri"/>
        </w:rPr>
        <w:t xml:space="preserve">, obiettivi dello sviluppo sostenibile, formazione all’imprenditoria, accesso a finanziamenti competitivi, formazione alla didattica, </w:t>
      </w:r>
      <w:proofErr w:type="spellStart"/>
      <w:r w:rsidRPr="00B07179">
        <w:rPr>
          <w:rFonts w:cs="Calibri"/>
          <w:i/>
          <w:iCs/>
        </w:rPr>
        <w:t>citizen</w:t>
      </w:r>
      <w:proofErr w:type="spellEnd"/>
      <w:r w:rsidRPr="00B07179">
        <w:rPr>
          <w:rFonts w:cs="Calibri"/>
          <w:i/>
          <w:iCs/>
        </w:rPr>
        <w:t xml:space="preserve"> science</w:t>
      </w:r>
      <w:r>
        <w:rPr>
          <w:rFonts w:cs="Calibri"/>
        </w:rPr>
        <w:t>, comunicazione e disseminazione dei risultati, progettualità</w:t>
      </w:r>
      <w:r w:rsidRPr="00575A7F">
        <w:rPr>
          <w:rFonts w:cs="Calibri"/>
        </w:rPr>
        <w:t>)</w:t>
      </w:r>
      <w:r>
        <w:rPr>
          <w:rFonts w:cs="Calibri"/>
        </w:rPr>
        <w:t xml:space="preserve"> (Tabella 4),</w:t>
      </w:r>
      <w:r w:rsidRPr="00575A7F">
        <w:rPr>
          <w:rFonts w:cs="Calibri"/>
        </w:rPr>
        <w:t xml:space="preserve"> coinvolgendo </w:t>
      </w:r>
      <w:r>
        <w:rPr>
          <w:rFonts w:cs="Calibri"/>
        </w:rPr>
        <w:t xml:space="preserve">anche il CSTE oltre che </w:t>
      </w:r>
      <w:r w:rsidRPr="00575A7F">
        <w:rPr>
          <w:rFonts w:cs="Calibri"/>
        </w:rPr>
        <w:t xml:space="preserve">il </w:t>
      </w:r>
      <w:r w:rsidRPr="00C42629">
        <w:rPr>
          <w:rFonts w:cs="Calibri"/>
        </w:rPr>
        <w:t>Centro per l’</w:t>
      </w:r>
      <w:r>
        <w:rPr>
          <w:rFonts w:cs="Calibri"/>
        </w:rPr>
        <w:t>I</w:t>
      </w:r>
      <w:r w:rsidRPr="00C42629">
        <w:rPr>
          <w:rFonts w:cs="Calibri"/>
        </w:rPr>
        <w:t xml:space="preserve">nnovazione e il </w:t>
      </w:r>
      <w:r>
        <w:rPr>
          <w:rFonts w:cs="Calibri"/>
        </w:rPr>
        <w:t>M</w:t>
      </w:r>
      <w:r w:rsidRPr="00C42629">
        <w:rPr>
          <w:rFonts w:cs="Calibri"/>
        </w:rPr>
        <w:t xml:space="preserve">iglioramento della </w:t>
      </w:r>
      <w:r>
        <w:rPr>
          <w:rFonts w:cs="Calibri"/>
        </w:rPr>
        <w:t>D</w:t>
      </w:r>
      <w:r w:rsidRPr="00C42629">
        <w:rPr>
          <w:rFonts w:cs="Calibri"/>
        </w:rPr>
        <w:t xml:space="preserve">idattica </w:t>
      </w:r>
      <w:r>
        <w:rPr>
          <w:rFonts w:cs="Calibri"/>
        </w:rPr>
        <w:t>U</w:t>
      </w:r>
      <w:r w:rsidRPr="00C42629">
        <w:rPr>
          <w:rFonts w:cs="Calibri"/>
        </w:rPr>
        <w:t>niversitaria-CIMDU</w:t>
      </w:r>
      <w:r>
        <w:rPr>
          <w:rFonts w:cs="Calibri"/>
        </w:rPr>
        <w:t xml:space="preserve"> e</w:t>
      </w:r>
      <w:r w:rsidRPr="00575A7F">
        <w:rPr>
          <w:rFonts w:cs="Calibri"/>
        </w:rPr>
        <w:t xml:space="preserve"> il Centro di Studi Avanzati di Ateneo</w:t>
      </w:r>
      <w:r>
        <w:rPr>
          <w:rFonts w:cs="Calibri"/>
        </w:rPr>
        <w:t xml:space="preserve"> e anche </w:t>
      </w:r>
      <w:r w:rsidRPr="00575A7F">
        <w:rPr>
          <w:rFonts w:cs="Calibri"/>
        </w:rPr>
        <w:t>attori interni ed esterni all’Ateneo.</w:t>
      </w:r>
      <w:r>
        <w:rPr>
          <w:rFonts w:cs="Calibri"/>
        </w:rPr>
        <w:t xml:space="preserve"> I seminari vengono, di norma, organizzati ogni primo lunedì dei mesi pari. Inoltre, la Scuola coordina annualmente l’organizzazione di eventi di orientamento come l’</w:t>
      </w:r>
      <w:r w:rsidRPr="00B21202">
        <w:rPr>
          <w:rFonts w:cs="Calibri"/>
          <w:i/>
          <w:iCs/>
        </w:rPr>
        <w:t>open day</w:t>
      </w:r>
      <w:r>
        <w:rPr>
          <w:rFonts w:cs="Calibri"/>
        </w:rPr>
        <w:t xml:space="preserve"> dei corsi di dottorato, e di aggregazione per i dottorandi e divulgazione delle attività svolte nei corsi di dottorato come nel caso del </w:t>
      </w:r>
      <w:r w:rsidRPr="00B21202">
        <w:rPr>
          <w:rFonts w:cs="Calibri"/>
          <w:i/>
          <w:iCs/>
        </w:rPr>
        <w:t>welcome day</w:t>
      </w:r>
      <w:r>
        <w:rPr>
          <w:rFonts w:cs="Calibri"/>
        </w:rPr>
        <w:t xml:space="preserve"> dei dottorandi e del </w:t>
      </w:r>
      <w:proofErr w:type="spellStart"/>
      <w:r w:rsidRPr="00B21202">
        <w:rPr>
          <w:rFonts w:cs="Calibri"/>
          <w:i/>
          <w:iCs/>
        </w:rPr>
        <w:t>graduation</w:t>
      </w:r>
      <w:proofErr w:type="spellEnd"/>
      <w:r w:rsidRPr="00B21202">
        <w:rPr>
          <w:rFonts w:cs="Calibri"/>
          <w:i/>
          <w:iCs/>
        </w:rPr>
        <w:t xml:space="preserve"> day </w:t>
      </w:r>
      <w:r>
        <w:rPr>
          <w:rFonts w:cs="Calibri"/>
        </w:rPr>
        <w:t>dei dottori di ricerca.</w:t>
      </w:r>
    </w:p>
    <w:p w14:paraId="25667951" w14:textId="77777777" w:rsidR="00E83924" w:rsidRDefault="00E83924" w:rsidP="00E83924">
      <w:pPr>
        <w:shd w:val="clear" w:color="auto" w:fill="FFFFFF"/>
        <w:spacing w:after="120"/>
        <w:rPr>
          <w:rFonts w:cs="Calibri"/>
        </w:rPr>
      </w:pPr>
    </w:p>
    <w:p w14:paraId="6748D005" w14:textId="77777777" w:rsidR="00E83924" w:rsidRPr="0071593C" w:rsidRDefault="00E83924" w:rsidP="00E83924">
      <w:pPr>
        <w:spacing w:after="120"/>
        <w:rPr>
          <w:rFonts w:cs="Calibri"/>
          <w:b/>
          <w:bCs/>
        </w:rPr>
      </w:pPr>
      <w:r w:rsidRPr="0071593C">
        <w:rPr>
          <w:rFonts w:cs="Calibri"/>
          <w:b/>
          <w:bCs/>
        </w:rPr>
        <w:t>Tabella 1. Tipologia di attività formative</w:t>
      </w:r>
    </w:p>
    <w:tbl>
      <w:tblPr>
        <w:tblStyle w:val="Grigliatabella"/>
        <w:tblW w:w="0" w:type="auto"/>
        <w:tblLook w:val="04A0" w:firstRow="1" w:lastRow="0" w:firstColumn="1" w:lastColumn="0" w:noHBand="0" w:noVBand="1"/>
      </w:tblPr>
      <w:tblGrid>
        <w:gridCol w:w="7928"/>
      </w:tblGrid>
      <w:tr w:rsidR="00E83924" w:rsidRPr="00C97DFC" w14:paraId="01FFF03C" w14:textId="77777777" w:rsidTr="00FE7C58">
        <w:tc>
          <w:tcPr>
            <w:tcW w:w="9493" w:type="dxa"/>
          </w:tcPr>
          <w:p w14:paraId="6F614779" w14:textId="77777777" w:rsidR="00E83924" w:rsidRPr="00C97DFC" w:rsidRDefault="00E83924" w:rsidP="00FE7C58">
            <w:pPr>
              <w:jc w:val="center"/>
              <w:rPr>
                <w:rFonts w:cstheme="minorHAnsi"/>
                <w:b/>
                <w:bCs/>
                <w:color w:val="000000" w:themeColor="text1"/>
                <w:sz w:val="20"/>
                <w:szCs w:val="20"/>
              </w:rPr>
            </w:pPr>
            <w:r w:rsidRPr="00C97DFC">
              <w:rPr>
                <w:rFonts w:cstheme="minorHAnsi"/>
                <w:b/>
                <w:bCs/>
                <w:color w:val="000000" w:themeColor="text1"/>
                <w:sz w:val="20"/>
                <w:szCs w:val="20"/>
              </w:rPr>
              <w:t>Attività</w:t>
            </w:r>
          </w:p>
        </w:tc>
      </w:tr>
      <w:tr w:rsidR="00E83924" w:rsidRPr="00204944" w14:paraId="41BAFC96" w14:textId="77777777" w:rsidTr="00FE7C58">
        <w:tc>
          <w:tcPr>
            <w:tcW w:w="9493" w:type="dxa"/>
          </w:tcPr>
          <w:p w14:paraId="52AFEA43"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 xml:space="preserve">Insegnamenti di terzo livello attivati nell’ambito del </w:t>
            </w:r>
            <w:r>
              <w:rPr>
                <w:rFonts w:cstheme="minorHAnsi"/>
                <w:color w:val="000000" w:themeColor="text1"/>
                <w:sz w:val="20"/>
                <w:szCs w:val="20"/>
              </w:rPr>
              <w:t>c</w:t>
            </w:r>
            <w:r w:rsidRPr="00A96776">
              <w:rPr>
                <w:rFonts w:cstheme="minorHAnsi"/>
                <w:color w:val="000000" w:themeColor="text1"/>
                <w:sz w:val="20"/>
                <w:szCs w:val="20"/>
              </w:rPr>
              <w:t xml:space="preserve">orso di </w:t>
            </w:r>
            <w:r>
              <w:rPr>
                <w:rFonts w:cstheme="minorHAnsi"/>
                <w:color w:val="000000" w:themeColor="text1"/>
                <w:sz w:val="20"/>
                <w:szCs w:val="20"/>
              </w:rPr>
              <w:t>d</w:t>
            </w:r>
            <w:r w:rsidRPr="00A96776">
              <w:rPr>
                <w:rFonts w:cstheme="minorHAnsi"/>
                <w:color w:val="000000" w:themeColor="text1"/>
                <w:sz w:val="20"/>
                <w:szCs w:val="20"/>
              </w:rPr>
              <w:t>ottorato</w:t>
            </w:r>
          </w:p>
        </w:tc>
      </w:tr>
      <w:tr w:rsidR="00E83924" w:rsidRPr="00962BB2" w14:paraId="5F856298" w14:textId="77777777" w:rsidTr="00FE7C58">
        <w:tc>
          <w:tcPr>
            <w:tcW w:w="9493" w:type="dxa"/>
          </w:tcPr>
          <w:p w14:paraId="3D78D4B8"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Insegnamenti di terzo livello erogati nell’ambito di altri corsi di dottorato </w:t>
            </w:r>
          </w:p>
        </w:tc>
      </w:tr>
      <w:tr w:rsidR="00E83924" w:rsidRPr="00536B02" w14:paraId="5BA675D5" w14:textId="77777777" w:rsidTr="00FE7C58">
        <w:tc>
          <w:tcPr>
            <w:tcW w:w="9493" w:type="dxa"/>
          </w:tcPr>
          <w:p w14:paraId="1B245390"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Corsi di perfezionamento linguistico organizzati dai centri linguistici degli Atenei consorziati</w:t>
            </w:r>
          </w:p>
        </w:tc>
      </w:tr>
      <w:tr w:rsidR="00E83924" w:rsidRPr="001A6F38" w14:paraId="257EA89C" w14:textId="77777777" w:rsidTr="00FE7C58">
        <w:tc>
          <w:tcPr>
            <w:tcW w:w="9493" w:type="dxa"/>
          </w:tcPr>
          <w:p w14:paraId="1C0340E7" w14:textId="77777777" w:rsidR="00E83924" w:rsidRPr="00A96776" w:rsidRDefault="00E83924" w:rsidP="00E83924">
            <w:pPr>
              <w:pStyle w:val="Paragrafoelenco"/>
              <w:numPr>
                <w:ilvl w:val="0"/>
                <w:numId w:val="20"/>
              </w:numPr>
              <w:ind w:left="166" w:hanging="166"/>
              <w:rPr>
                <w:rFonts w:cstheme="minorHAnsi"/>
                <w:color w:val="000000" w:themeColor="text1"/>
                <w:sz w:val="20"/>
                <w:szCs w:val="20"/>
              </w:rPr>
            </w:pPr>
            <w:r w:rsidRPr="00A96776">
              <w:rPr>
                <w:rFonts w:cstheme="minorHAnsi"/>
                <w:color w:val="000000" w:themeColor="text1"/>
                <w:sz w:val="20"/>
                <w:szCs w:val="20"/>
              </w:rPr>
              <w:t>Seminari o corsi specialistici su tematiche inerenti al dottorato erogati da enti ed imprese qualificate.</w:t>
            </w:r>
          </w:p>
          <w:p w14:paraId="43DD8D33" w14:textId="77777777" w:rsidR="00E83924" w:rsidRPr="00450C6C" w:rsidRDefault="00E83924" w:rsidP="00E83924">
            <w:pPr>
              <w:pStyle w:val="Paragrafoelenco"/>
              <w:numPr>
                <w:ilvl w:val="0"/>
                <w:numId w:val="20"/>
              </w:numPr>
              <w:ind w:left="166" w:hanging="166"/>
              <w:rPr>
                <w:rFonts w:cstheme="minorHAnsi"/>
                <w:color w:val="000000" w:themeColor="text1"/>
                <w:sz w:val="20"/>
                <w:szCs w:val="20"/>
              </w:rPr>
            </w:pPr>
            <w:r w:rsidRPr="00A96776">
              <w:rPr>
                <w:rFonts w:cstheme="minorHAnsi"/>
                <w:color w:val="000000" w:themeColor="text1"/>
                <w:sz w:val="20"/>
                <w:szCs w:val="20"/>
              </w:rPr>
              <w:t xml:space="preserve">Seminari e corsi di formazione interdisciplinare, multidisciplinare e transdisciplinare (es. perfezionamento informatico, conoscenza dei sistemi di ricerca europei e internazionali, della valorizzazione e disseminazione dei risultati, della proprietà intellettuale e dell'accesso aperto ai dati e ai prodotti della ricerca, dei principi fondamentali di etica, uguaglianza di genere e integrità) anche organizzati dalla Scuola di Dottorato </w:t>
            </w:r>
            <w:r>
              <w:rPr>
                <w:rFonts w:cstheme="minorHAnsi"/>
                <w:color w:val="000000" w:themeColor="text1"/>
                <w:sz w:val="20"/>
                <w:szCs w:val="20"/>
              </w:rPr>
              <w:t>dell’</w:t>
            </w:r>
            <w:r w:rsidRPr="00A96776">
              <w:rPr>
                <w:rFonts w:cstheme="minorHAnsi"/>
                <w:color w:val="000000" w:themeColor="text1"/>
                <w:sz w:val="20"/>
                <w:szCs w:val="20"/>
              </w:rPr>
              <w:t>Ateneo</w:t>
            </w:r>
            <w:r>
              <w:rPr>
                <w:rFonts w:cstheme="minorHAnsi"/>
                <w:color w:val="000000" w:themeColor="text1"/>
                <w:sz w:val="20"/>
                <w:szCs w:val="20"/>
              </w:rPr>
              <w:t xml:space="preserve"> di Palermo</w:t>
            </w:r>
            <w:r w:rsidRPr="00A96776">
              <w:rPr>
                <w:rFonts w:cstheme="minorHAnsi"/>
                <w:color w:val="000000" w:themeColor="text1"/>
                <w:sz w:val="20"/>
                <w:szCs w:val="20"/>
              </w:rPr>
              <w:t>.</w:t>
            </w:r>
          </w:p>
        </w:tc>
      </w:tr>
      <w:tr w:rsidR="00E83924" w:rsidRPr="00204944" w14:paraId="1CA56F38" w14:textId="77777777" w:rsidTr="00FE7C58">
        <w:tc>
          <w:tcPr>
            <w:tcW w:w="9493" w:type="dxa"/>
          </w:tcPr>
          <w:p w14:paraId="07171C4D" w14:textId="77777777" w:rsidR="00E83924" w:rsidRPr="00A96776" w:rsidRDefault="00E83924" w:rsidP="00FE7C58">
            <w:pPr>
              <w:rPr>
                <w:rFonts w:cstheme="minorHAnsi"/>
                <w:color w:val="000000" w:themeColor="text1"/>
                <w:sz w:val="20"/>
                <w:szCs w:val="20"/>
              </w:rPr>
            </w:pPr>
            <w:proofErr w:type="spellStart"/>
            <w:r w:rsidRPr="00A96776">
              <w:rPr>
                <w:rFonts w:cstheme="minorHAnsi"/>
                <w:i/>
                <w:iCs/>
                <w:color w:val="000000" w:themeColor="text1"/>
                <w:sz w:val="20"/>
                <w:szCs w:val="20"/>
              </w:rPr>
              <w:t>Summer</w:t>
            </w:r>
            <w:proofErr w:type="spellEnd"/>
            <w:r w:rsidRPr="00A96776">
              <w:rPr>
                <w:rFonts w:cstheme="minorHAnsi"/>
                <w:i/>
                <w:iCs/>
                <w:color w:val="000000" w:themeColor="text1"/>
                <w:sz w:val="20"/>
                <w:szCs w:val="20"/>
              </w:rPr>
              <w:t>/winter school</w:t>
            </w:r>
            <w:r w:rsidRPr="00A96776">
              <w:rPr>
                <w:rFonts w:cstheme="minorHAnsi"/>
                <w:color w:val="000000" w:themeColor="text1"/>
                <w:sz w:val="20"/>
                <w:szCs w:val="20"/>
              </w:rPr>
              <w:t xml:space="preserve"> su tematiche inerenti al dottorato, organizzate presso </w:t>
            </w:r>
            <w:r>
              <w:rPr>
                <w:rFonts w:cstheme="minorHAnsi"/>
                <w:color w:val="000000" w:themeColor="text1"/>
                <w:sz w:val="20"/>
                <w:szCs w:val="20"/>
              </w:rPr>
              <w:t>u</w:t>
            </w:r>
            <w:r w:rsidRPr="00A96776">
              <w:rPr>
                <w:rFonts w:cstheme="minorHAnsi"/>
                <w:color w:val="000000" w:themeColor="text1"/>
                <w:sz w:val="20"/>
                <w:szCs w:val="20"/>
              </w:rPr>
              <w:t xml:space="preserve">niversità o riconosciute </w:t>
            </w:r>
            <w:r>
              <w:rPr>
                <w:rFonts w:cstheme="minorHAnsi"/>
                <w:color w:val="000000" w:themeColor="text1"/>
                <w:sz w:val="20"/>
                <w:szCs w:val="20"/>
              </w:rPr>
              <w:t>s</w:t>
            </w:r>
            <w:r w:rsidRPr="00A96776">
              <w:rPr>
                <w:rFonts w:cstheme="minorHAnsi"/>
                <w:color w:val="000000" w:themeColor="text1"/>
                <w:sz w:val="20"/>
                <w:szCs w:val="20"/>
              </w:rPr>
              <w:t xml:space="preserve">trutture di </w:t>
            </w:r>
            <w:r>
              <w:rPr>
                <w:rFonts w:cstheme="minorHAnsi"/>
                <w:color w:val="000000" w:themeColor="text1"/>
                <w:sz w:val="20"/>
                <w:szCs w:val="20"/>
              </w:rPr>
              <w:t>r</w:t>
            </w:r>
            <w:r w:rsidRPr="00A96776">
              <w:rPr>
                <w:rFonts w:cstheme="minorHAnsi"/>
                <w:color w:val="000000" w:themeColor="text1"/>
                <w:sz w:val="20"/>
                <w:szCs w:val="20"/>
              </w:rPr>
              <w:t>icerca</w:t>
            </w:r>
          </w:p>
        </w:tc>
      </w:tr>
      <w:tr w:rsidR="00E83924" w:rsidRPr="004A5F94" w14:paraId="098918C0" w14:textId="77777777" w:rsidTr="00FE7C58">
        <w:tc>
          <w:tcPr>
            <w:tcW w:w="9493" w:type="dxa"/>
          </w:tcPr>
          <w:p w14:paraId="11A8887F"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Partecipazione a convegni e workshop</w:t>
            </w:r>
          </w:p>
        </w:tc>
      </w:tr>
      <w:tr w:rsidR="00E83924" w:rsidRPr="002E72CA" w14:paraId="3F0D71FF" w14:textId="77777777" w:rsidTr="00FE7C58">
        <w:tc>
          <w:tcPr>
            <w:tcW w:w="9493" w:type="dxa"/>
          </w:tcPr>
          <w:p w14:paraId="6B874275"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Periodi di formazione e ricerca, in Italia o all’estero, presso università, enti di ricerca (pubblici o privati) ed imprese</w:t>
            </w:r>
          </w:p>
        </w:tc>
      </w:tr>
      <w:tr w:rsidR="00E83924" w:rsidRPr="002E72CA" w14:paraId="4FA4905E" w14:textId="77777777" w:rsidTr="00FE7C58">
        <w:tc>
          <w:tcPr>
            <w:tcW w:w="9493" w:type="dxa"/>
          </w:tcPr>
          <w:p w14:paraId="01DB2845"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Attività di tutorato e attività di didattica integrativa nell’ambito di corsi di laurea triennale e magistrale</w:t>
            </w:r>
          </w:p>
        </w:tc>
      </w:tr>
      <w:tr w:rsidR="00E83924" w:rsidRPr="002E72CA" w14:paraId="6CF7532F" w14:textId="77777777" w:rsidTr="00FE7C58">
        <w:tc>
          <w:tcPr>
            <w:tcW w:w="9493" w:type="dxa"/>
          </w:tcPr>
          <w:p w14:paraId="774353EB"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Attività di terza missione</w:t>
            </w:r>
          </w:p>
        </w:tc>
      </w:tr>
      <w:tr w:rsidR="00E83924" w:rsidRPr="002E72CA" w14:paraId="79C155DA" w14:textId="77777777" w:rsidTr="00FE7C58">
        <w:tc>
          <w:tcPr>
            <w:tcW w:w="9493" w:type="dxa"/>
          </w:tcPr>
          <w:p w14:paraId="673F12CE"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Attività di ricerca e redazione della tesi</w:t>
            </w:r>
          </w:p>
        </w:tc>
      </w:tr>
      <w:tr w:rsidR="00E83924" w:rsidRPr="002E72CA" w14:paraId="034883DF" w14:textId="77777777" w:rsidTr="00FE7C58">
        <w:tc>
          <w:tcPr>
            <w:tcW w:w="9493" w:type="dxa"/>
          </w:tcPr>
          <w:p w14:paraId="0907976A"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Seminari tenuti dal dottorando inerenti alla tematica del progetto di ricerca</w:t>
            </w:r>
          </w:p>
        </w:tc>
      </w:tr>
      <w:tr w:rsidR="00E83924" w:rsidRPr="002E72CA" w14:paraId="2A738B2F" w14:textId="77777777" w:rsidTr="00FE7C58">
        <w:tc>
          <w:tcPr>
            <w:tcW w:w="9493" w:type="dxa"/>
          </w:tcPr>
          <w:p w14:paraId="0FF7A4A2"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Pubblicazione (o accettazione) di articol</w:t>
            </w:r>
            <w:r>
              <w:rPr>
                <w:rFonts w:cstheme="minorHAnsi"/>
                <w:color w:val="000000" w:themeColor="text1"/>
                <w:sz w:val="20"/>
                <w:szCs w:val="20"/>
              </w:rPr>
              <w:t>i</w:t>
            </w:r>
            <w:r w:rsidRPr="00A96776">
              <w:rPr>
                <w:rFonts w:cstheme="minorHAnsi"/>
                <w:color w:val="000000" w:themeColor="text1"/>
                <w:sz w:val="20"/>
                <w:szCs w:val="20"/>
              </w:rPr>
              <w:t xml:space="preserve"> scientific</w:t>
            </w:r>
            <w:r>
              <w:rPr>
                <w:rFonts w:cstheme="minorHAnsi"/>
                <w:color w:val="000000" w:themeColor="text1"/>
                <w:sz w:val="20"/>
                <w:szCs w:val="20"/>
              </w:rPr>
              <w:t>i</w:t>
            </w:r>
            <w:r w:rsidRPr="00A96776">
              <w:rPr>
                <w:rFonts w:cstheme="minorHAnsi"/>
                <w:color w:val="000000" w:themeColor="text1"/>
                <w:sz w:val="20"/>
                <w:szCs w:val="20"/>
              </w:rPr>
              <w:t xml:space="preserve"> su atti di congresso nazionale con referee anonimi</w:t>
            </w:r>
          </w:p>
        </w:tc>
      </w:tr>
      <w:tr w:rsidR="00E83924" w:rsidRPr="00865189" w14:paraId="3B3469B7" w14:textId="77777777" w:rsidTr="00FE7C58">
        <w:tc>
          <w:tcPr>
            <w:tcW w:w="9493" w:type="dxa"/>
          </w:tcPr>
          <w:p w14:paraId="2DAF5AA0"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Pubblicazione (o accettazione) di articol</w:t>
            </w:r>
            <w:r>
              <w:rPr>
                <w:rFonts w:cstheme="minorHAnsi"/>
                <w:color w:val="000000" w:themeColor="text1"/>
                <w:sz w:val="20"/>
                <w:szCs w:val="20"/>
              </w:rPr>
              <w:t>i</w:t>
            </w:r>
            <w:r w:rsidRPr="00A96776">
              <w:rPr>
                <w:rFonts w:cstheme="minorHAnsi"/>
                <w:color w:val="000000" w:themeColor="text1"/>
                <w:sz w:val="20"/>
                <w:szCs w:val="20"/>
              </w:rPr>
              <w:t xml:space="preserve"> scientific</w:t>
            </w:r>
            <w:r>
              <w:rPr>
                <w:rFonts w:cstheme="minorHAnsi"/>
                <w:color w:val="000000" w:themeColor="text1"/>
                <w:sz w:val="20"/>
                <w:szCs w:val="20"/>
              </w:rPr>
              <w:t>i</w:t>
            </w:r>
            <w:r w:rsidRPr="00A96776">
              <w:rPr>
                <w:rFonts w:cstheme="minorHAnsi"/>
                <w:color w:val="000000" w:themeColor="text1"/>
                <w:sz w:val="20"/>
                <w:szCs w:val="20"/>
              </w:rPr>
              <w:t xml:space="preserve"> su atti di congresso internazionale con referee anonimi</w:t>
            </w:r>
          </w:p>
        </w:tc>
      </w:tr>
      <w:tr w:rsidR="00E83924" w:rsidRPr="00865189" w14:paraId="79902606" w14:textId="77777777" w:rsidTr="00FE7C58">
        <w:tc>
          <w:tcPr>
            <w:tcW w:w="9493" w:type="dxa"/>
          </w:tcPr>
          <w:p w14:paraId="64C87728"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Pubblicazione (o accettazione) di articol</w:t>
            </w:r>
            <w:r>
              <w:rPr>
                <w:rFonts w:cstheme="minorHAnsi"/>
                <w:color w:val="000000" w:themeColor="text1"/>
                <w:sz w:val="20"/>
                <w:szCs w:val="20"/>
              </w:rPr>
              <w:t>i</w:t>
            </w:r>
            <w:r w:rsidRPr="00A96776">
              <w:rPr>
                <w:rFonts w:cstheme="minorHAnsi"/>
                <w:color w:val="000000" w:themeColor="text1"/>
                <w:sz w:val="20"/>
                <w:szCs w:val="20"/>
              </w:rPr>
              <w:t xml:space="preserve"> scientific</w:t>
            </w:r>
            <w:r>
              <w:rPr>
                <w:rFonts w:cstheme="minorHAnsi"/>
                <w:color w:val="000000" w:themeColor="text1"/>
                <w:sz w:val="20"/>
                <w:szCs w:val="20"/>
              </w:rPr>
              <w:t>i</w:t>
            </w:r>
            <w:r w:rsidRPr="00A96776">
              <w:rPr>
                <w:rFonts w:cstheme="minorHAnsi"/>
                <w:color w:val="000000" w:themeColor="text1"/>
                <w:sz w:val="20"/>
                <w:szCs w:val="20"/>
              </w:rPr>
              <w:t xml:space="preserve"> su un libro o rivista scientifica con referee anonimi</w:t>
            </w:r>
          </w:p>
        </w:tc>
      </w:tr>
      <w:tr w:rsidR="00E83924" w:rsidRPr="00865189" w14:paraId="379EE451" w14:textId="77777777" w:rsidTr="00FE7C58">
        <w:tc>
          <w:tcPr>
            <w:tcW w:w="9493" w:type="dxa"/>
          </w:tcPr>
          <w:p w14:paraId="2A0FB4FC"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Pubblicazione (o accettazione) di monografi</w:t>
            </w:r>
            <w:r>
              <w:rPr>
                <w:rFonts w:cstheme="minorHAnsi"/>
                <w:color w:val="000000" w:themeColor="text1"/>
                <w:sz w:val="20"/>
                <w:szCs w:val="20"/>
              </w:rPr>
              <w:t>e</w:t>
            </w:r>
          </w:p>
        </w:tc>
      </w:tr>
      <w:tr w:rsidR="00E83924" w:rsidRPr="00865189" w14:paraId="3AD73D07" w14:textId="77777777" w:rsidTr="00FE7C58">
        <w:tc>
          <w:tcPr>
            <w:tcW w:w="9493" w:type="dxa"/>
          </w:tcPr>
          <w:p w14:paraId="65A9B6D0" w14:textId="77777777" w:rsidR="00E83924" w:rsidRPr="00A96776" w:rsidRDefault="00E83924" w:rsidP="00FE7C58">
            <w:pPr>
              <w:rPr>
                <w:rFonts w:cstheme="minorHAnsi"/>
                <w:color w:val="000000" w:themeColor="text1"/>
                <w:sz w:val="20"/>
                <w:szCs w:val="20"/>
              </w:rPr>
            </w:pPr>
            <w:r w:rsidRPr="00A96776">
              <w:rPr>
                <w:rFonts w:cstheme="minorHAnsi"/>
                <w:color w:val="000000" w:themeColor="text1"/>
                <w:sz w:val="20"/>
                <w:szCs w:val="20"/>
              </w:rPr>
              <w:t>Brevett</w:t>
            </w:r>
            <w:r>
              <w:rPr>
                <w:rFonts w:cstheme="minorHAnsi"/>
                <w:color w:val="000000" w:themeColor="text1"/>
                <w:sz w:val="20"/>
                <w:szCs w:val="20"/>
              </w:rPr>
              <w:t>i</w:t>
            </w:r>
          </w:p>
        </w:tc>
      </w:tr>
    </w:tbl>
    <w:p w14:paraId="6E4D0BDC" w14:textId="77777777" w:rsidR="00E83924" w:rsidRDefault="00E83924" w:rsidP="00E83924">
      <w:pPr>
        <w:shd w:val="clear" w:color="auto" w:fill="FFFFFF"/>
        <w:spacing w:after="120"/>
        <w:rPr>
          <w:rFonts w:cs="Calibri"/>
        </w:rPr>
      </w:pPr>
    </w:p>
    <w:p w14:paraId="1CCCDA5B" w14:textId="77777777" w:rsidR="00E83924" w:rsidRDefault="00E83924" w:rsidP="00E83924">
      <w:pPr>
        <w:shd w:val="clear" w:color="auto" w:fill="FFFFFF"/>
        <w:spacing w:after="120"/>
        <w:rPr>
          <w:rFonts w:cs="Calibri"/>
          <w:b/>
          <w:bCs/>
        </w:rPr>
      </w:pPr>
      <w:r w:rsidRPr="0071593C">
        <w:rPr>
          <w:rFonts w:cs="Calibri"/>
          <w:b/>
          <w:bCs/>
        </w:rPr>
        <w:lastRenderedPageBreak/>
        <w:t xml:space="preserve">Tabella 2. Insegnamenti erogati dal </w:t>
      </w:r>
      <w:r>
        <w:rPr>
          <w:rFonts w:cs="Calibri"/>
          <w:b/>
          <w:bCs/>
        </w:rPr>
        <w:t>Corso di Dottorato</w:t>
      </w:r>
      <w:r w:rsidRPr="0071593C">
        <w:rPr>
          <w:rFonts w:cs="Calibri"/>
          <w:b/>
          <w:bCs/>
        </w:rPr>
        <w:t xml:space="preserve"> e loro calendarizzazione</w:t>
      </w:r>
    </w:p>
    <w:p w14:paraId="427151FA" w14:textId="77777777" w:rsidR="000E557D" w:rsidRDefault="000E557D" w:rsidP="00E83924">
      <w:pPr>
        <w:shd w:val="clear" w:color="auto" w:fill="FFFFFF"/>
        <w:spacing w:after="120"/>
        <w:rPr>
          <w:rFonts w:cs="Calibri"/>
          <w:b/>
          <w:bCs/>
        </w:rPr>
      </w:pPr>
    </w:p>
    <w:tbl>
      <w:tblPr>
        <w:tblStyle w:val="Grigliatabella"/>
        <w:tblW w:w="0" w:type="auto"/>
        <w:tblLook w:val="04A0" w:firstRow="1" w:lastRow="0" w:firstColumn="1" w:lastColumn="0" w:noHBand="0" w:noVBand="1"/>
      </w:tblPr>
      <w:tblGrid>
        <w:gridCol w:w="306"/>
        <w:gridCol w:w="1457"/>
        <w:gridCol w:w="501"/>
        <w:gridCol w:w="337"/>
        <w:gridCol w:w="786"/>
        <w:gridCol w:w="487"/>
        <w:gridCol w:w="419"/>
        <w:gridCol w:w="1800"/>
        <w:gridCol w:w="1148"/>
        <w:gridCol w:w="687"/>
      </w:tblGrid>
      <w:tr w:rsidR="000E557D" w:rsidRPr="002D58B0" w14:paraId="4B647C29" w14:textId="77777777" w:rsidTr="000E557D">
        <w:trPr>
          <w:trHeight w:val="2820"/>
        </w:trPr>
        <w:tc>
          <w:tcPr>
            <w:tcW w:w="580" w:type="dxa"/>
            <w:hideMark/>
          </w:tcPr>
          <w:p w14:paraId="4E3639DC" w14:textId="77777777" w:rsidR="000E557D" w:rsidRPr="002D58B0" w:rsidRDefault="000E557D" w:rsidP="000E557D">
            <w:pPr>
              <w:shd w:val="clear" w:color="auto" w:fill="FFFFFF"/>
              <w:spacing w:after="120"/>
              <w:rPr>
                <w:rFonts w:cs="Calibri"/>
                <w:b/>
                <w:bCs/>
              </w:rPr>
            </w:pPr>
            <w:r w:rsidRPr="002D58B0">
              <w:rPr>
                <w:rFonts w:cs="Calibri"/>
                <w:b/>
                <w:bCs/>
              </w:rPr>
              <w:t>n</w:t>
            </w:r>
          </w:p>
        </w:tc>
        <w:tc>
          <w:tcPr>
            <w:tcW w:w="5280" w:type="dxa"/>
            <w:hideMark/>
          </w:tcPr>
          <w:p w14:paraId="11567D40" w14:textId="44209C95" w:rsidR="000E557D" w:rsidRPr="002D58B0" w:rsidRDefault="000E557D" w:rsidP="000E557D">
            <w:pPr>
              <w:shd w:val="clear" w:color="auto" w:fill="FFFFFF"/>
              <w:spacing w:after="120"/>
              <w:rPr>
                <w:rFonts w:cs="Calibri"/>
                <w:b/>
                <w:bCs/>
              </w:rPr>
            </w:pPr>
            <w:r w:rsidRPr="002D58B0">
              <w:rPr>
                <w:rFonts w:cs="Calibri"/>
                <w:b/>
                <w:bCs/>
              </w:rPr>
              <w:t>Denominazione dell’insegnamento</w:t>
            </w:r>
          </w:p>
        </w:tc>
        <w:tc>
          <w:tcPr>
            <w:tcW w:w="1380" w:type="dxa"/>
            <w:hideMark/>
          </w:tcPr>
          <w:p w14:paraId="3E0FA8F0" w14:textId="38E1472D" w:rsidR="000E557D" w:rsidRPr="002D58B0" w:rsidRDefault="008931F9" w:rsidP="000E557D">
            <w:pPr>
              <w:shd w:val="clear" w:color="auto" w:fill="FFFFFF"/>
              <w:spacing w:after="120"/>
              <w:rPr>
                <w:rFonts w:cs="Calibri"/>
                <w:b/>
                <w:bCs/>
              </w:rPr>
            </w:pPr>
            <w:r>
              <w:rPr>
                <w:rFonts w:cs="Calibri"/>
                <w:b/>
                <w:bCs/>
              </w:rPr>
              <w:t xml:space="preserve">N. </w:t>
            </w:r>
            <w:r w:rsidR="000E557D" w:rsidRPr="002D58B0">
              <w:rPr>
                <w:rFonts w:cs="Calibri"/>
                <w:b/>
                <w:bCs/>
              </w:rPr>
              <w:t xml:space="preserve">ore </w:t>
            </w:r>
          </w:p>
        </w:tc>
        <w:tc>
          <w:tcPr>
            <w:tcW w:w="2280" w:type="dxa"/>
            <w:hideMark/>
          </w:tcPr>
          <w:p w14:paraId="79D0CADD" w14:textId="77777777" w:rsidR="000E557D" w:rsidRPr="002D58B0" w:rsidRDefault="000E557D" w:rsidP="000E557D">
            <w:pPr>
              <w:shd w:val="clear" w:color="auto" w:fill="FFFFFF"/>
              <w:spacing w:after="120"/>
              <w:rPr>
                <w:rFonts w:cs="Calibri"/>
                <w:b/>
                <w:bCs/>
              </w:rPr>
            </w:pPr>
            <w:r w:rsidRPr="002D58B0">
              <w:rPr>
                <w:rFonts w:cs="Calibri"/>
                <w:b/>
                <w:bCs/>
              </w:rPr>
              <w:t>CFU</w:t>
            </w:r>
          </w:p>
        </w:tc>
        <w:tc>
          <w:tcPr>
            <w:tcW w:w="2540" w:type="dxa"/>
            <w:hideMark/>
          </w:tcPr>
          <w:p w14:paraId="5A036BA8" w14:textId="01C4426B" w:rsidR="000E557D" w:rsidRPr="002D58B0" w:rsidRDefault="000E557D" w:rsidP="000E557D">
            <w:pPr>
              <w:shd w:val="clear" w:color="auto" w:fill="FFFFFF"/>
              <w:spacing w:after="120"/>
              <w:rPr>
                <w:rFonts w:cs="Calibri"/>
                <w:b/>
                <w:bCs/>
              </w:rPr>
            </w:pPr>
            <w:r w:rsidRPr="002D58B0">
              <w:rPr>
                <w:rFonts w:cs="Calibri"/>
                <w:b/>
                <w:bCs/>
              </w:rPr>
              <w:t>Distribuzione</w:t>
            </w:r>
            <w:r w:rsidR="008931F9">
              <w:rPr>
                <w:rFonts w:cs="Calibri"/>
                <w:b/>
                <w:bCs/>
              </w:rPr>
              <w:t xml:space="preserve"> </w:t>
            </w:r>
            <w:r w:rsidRPr="002D58B0">
              <w:rPr>
                <w:rFonts w:cs="Calibri"/>
                <w:b/>
                <w:bCs/>
              </w:rPr>
              <w:t>durante il ciclo</w:t>
            </w:r>
            <w:r w:rsidR="005A7E07">
              <w:rPr>
                <w:rFonts w:cs="Calibri"/>
                <w:b/>
                <w:bCs/>
              </w:rPr>
              <w:t xml:space="preserve"> </w:t>
            </w:r>
            <w:r w:rsidRPr="002D58B0">
              <w:rPr>
                <w:rFonts w:cs="Calibri"/>
                <w:b/>
                <w:bCs/>
              </w:rPr>
              <w:t>di dottorato</w:t>
            </w:r>
          </w:p>
        </w:tc>
        <w:tc>
          <w:tcPr>
            <w:tcW w:w="1760" w:type="dxa"/>
            <w:hideMark/>
          </w:tcPr>
          <w:p w14:paraId="5045F11C" w14:textId="77777777" w:rsidR="000E557D" w:rsidRPr="002D58B0" w:rsidRDefault="000E557D" w:rsidP="000E557D">
            <w:pPr>
              <w:shd w:val="clear" w:color="auto" w:fill="FFFFFF"/>
              <w:spacing w:after="120"/>
              <w:rPr>
                <w:rFonts w:cs="Calibri"/>
                <w:b/>
                <w:bCs/>
              </w:rPr>
            </w:pPr>
            <w:r w:rsidRPr="002D58B0">
              <w:rPr>
                <w:rFonts w:cs="Calibri"/>
                <w:b/>
                <w:bCs/>
              </w:rPr>
              <w:t>Periodo di erogazione</w:t>
            </w:r>
          </w:p>
        </w:tc>
        <w:tc>
          <w:tcPr>
            <w:tcW w:w="1640" w:type="dxa"/>
            <w:hideMark/>
          </w:tcPr>
          <w:p w14:paraId="263F9A49" w14:textId="77777777" w:rsidR="000E557D" w:rsidRPr="002D58B0" w:rsidRDefault="000E557D" w:rsidP="000E557D">
            <w:pPr>
              <w:shd w:val="clear" w:color="auto" w:fill="FFFFFF"/>
              <w:spacing w:after="120"/>
              <w:rPr>
                <w:rFonts w:cs="Calibri"/>
                <w:b/>
                <w:bCs/>
              </w:rPr>
            </w:pPr>
            <w:r w:rsidRPr="002D58B0">
              <w:rPr>
                <w:rFonts w:cs="Calibri"/>
                <w:b/>
                <w:bCs/>
              </w:rPr>
              <w:t>Verifica finale</w:t>
            </w:r>
          </w:p>
        </w:tc>
        <w:tc>
          <w:tcPr>
            <w:tcW w:w="6680" w:type="dxa"/>
            <w:hideMark/>
          </w:tcPr>
          <w:p w14:paraId="710EB78F" w14:textId="77777777" w:rsidR="000E557D" w:rsidRPr="002D58B0" w:rsidRDefault="000E557D" w:rsidP="000E557D">
            <w:pPr>
              <w:shd w:val="clear" w:color="auto" w:fill="FFFFFF"/>
              <w:spacing w:after="120"/>
              <w:rPr>
                <w:rFonts w:cs="Calibri"/>
                <w:b/>
                <w:bCs/>
              </w:rPr>
            </w:pPr>
            <w:r w:rsidRPr="002D58B0">
              <w:rPr>
                <w:rFonts w:cs="Calibri"/>
                <w:b/>
                <w:bCs/>
              </w:rPr>
              <w:t>Note</w:t>
            </w:r>
          </w:p>
        </w:tc>
        <w:tc>
          <w:tcPr>
            <w:tcW w:w="4020" w:type="dxa"/>
            <w:noWrap/>
            <w:hideMark/>
          </w:tcPr>
          <w:p w14:paraId="5CA4EF5F" w14:textId="77777777" w:rsidR="000E557D" w:rsidRPr="002D58B0" w:rsidRDefault="000E557D" w:rsidP="000E557D">
            <w:pPr>
              <w:shd w:val="clear" w:color="auto" w:fill="FFFFFF"/>
              <w:spacing w:after="120"/>
              <w:rPr>
                <w:rFonts w:cs="Calibri"/>
                <w:b/>
                <w:bCs/>
              </w:rPr>
            </w:pPr>
            <w:r w:rsidRPr="002D58B0">
              <w:rPr>
                <w:rFonts w:cs="Calibri"/>
                <w:b/>
                <w:bCs/>
              </w:rPr>
              <w:t>Docente</w:t>
            </w:r>
          </w:p>
        </w:tc>
        <w:tc>
          <w:tcPr>
            <w:tcW w:w="2940" w:type="dxa"/>
            <w:hideMark/>
          </w:tcPr>
          <w:p w14:paraId="3E7FE442" w14:textId="77777777" w:rsidR="000E557D" w:rsidRPr="002D58B0" w:rsidRDefault="000E557D" w:rsidP="000E557D">
            <w:pPr>
              <w:shd w:val="clear" w:color="auto" w:fill="FFFFFF"/>
              <w:spacing w:after="120"/>
              <w:rPr>
                <w:rFonts w:cs="Calibri"/>
                <w:b/>
                <w:bCs/>
              </w:rPr>
            </w:pPr>
            <w:r w:rsidRPr="002D58B0">
              <w:rPr>
                <w:rFonts w:cs="Calibri"/>
                <w:b/>
                <w:bCs/>
              </w:rPr>
              <w:t>Luogo di svolgimento</w:t>
            </w:r>
          </w:p>
        </w:tc>
      </w:tr>
      <w:tr w:rsidR="000E557D" w:rsidRPr="002D58B0" w14:paraId="65EA4CDD" w14:textId="77777777" w:rsidTr="000E557D">
        <w:trPr>
          <w:trHeight w:val="3290"/>
        </w:trPr>
        <w:tc>
          <w:tcPr>
            <w:tcW w:w="580" w:type="dxa"/>
            <w:noWrap/>
            <w:hideMark/>
          </w:tcPr>
          <w:p w14:paraId="68FC15F8" w14:textId="77777777" w:rsidR="000E557D" w:rsidRPr="002D58B0" w:rsidRDefault="000E557D" w:rsidP="000E557D">
            <w:pPr>
              <w:shd w:val="clear" w:color="auto" w:fill="FFFFFF"/>
              <w:spacing w:after="120"/>
              <w:rPr>
                <w:rFonts w:cs="Calibri"/>
              </w:rPr>
            </w:pPr>
            <w:r w:rsidRPr="002D58B0">
              <w:rPr>
                <w:rFonts w:cs="Calibri"/>
              </w:rPr>
              <w:t>1</w:t>
            </w:r>
          </w:p>
        </w:tc>
        <w:tc>
          <w:tcPr>
            <w:tcW w:w="5280" w:type="dxa"/>
            <w:hideMark/>
          </w:tcPr>
          <w:p w14:paraId="29E3CC92" w14:textId="4981FF56" w:rsidR="000E557D" w:rsidRPr="002D58B0" w:rsidRDefault="009C635B" w:rsidP="000E557D">
            <w:pPr>
              <w:shd w:val="clear" w:color="auto" w:fill="FFFFFF"/>
              <w:spacing w:after="120"/>
              <w:rPr>
                <w:rFonts w:cs="Calibri"/>
              </w:rPr>
            </w:pPr>
            <w:proofErr w:type="spellStart"/>
            <w:r w:rsidRPr="009C635B">
              <w:rPr>
                <w:rFonts w:cs="Calibri"/>
              </w:rPr>
              <w:t>Sustainable</w:t>
            </w:r>
            <w:proofErr w:type="spellEnd"/>
            <w:r w:rsidRPr="009C635B">
              <w:rPr>
                <w:rFonts w:cs="Calibri"/>
              </w:rPr>
              <w:t xml:space="preserve"> cities and communities</w:t>
            </w:r>
          </w:p>
        </w:tc>
        <w:tc>
          <w:tcPr>
            <w:tcW w:w="1380" w:type="dxa"/>
            <w:hideMark/>
          </w:tcPr>
          <w:p w14:paraId="232BD216" w14:textId="77777777" w:rsidR="000E557D" w:rsidRPr="002D58B0" w:rsidRDefault="000E557D" w:rsidP="000E557D">
            <w:pPr>
              <w:shd w:val="clear" w:color="auto" w:fill="FFFFFF"/>
              <w:spacing w:after="120"/>
              <w:rPr>
                <w:rFonts w:cs="Calibri"/>
              </w:rPr>
            </w:pPr>
            <w:r w:rsidRPr="002D58B0">
              <w:rPr>
                <w:rFonts w:cs="Calibri"/>
              </w:rPr>
              <w:t>10</w:t>
            </w:r>
          </w:p>
        </w:tc>
        <w:tc>
          <w:tcPr>
            <w:tcW w:w="2280" w:type="dxa"/>
            <w:hideMark/>
          </w:tcPr>
          <w:p w14:paraId="63274FAF" w14:textId="77777777" w:rsidR="000E557D" w:rsidRPr="002D58B0" w:rsidRDefault="000E557D" w:rsidP="000E557D">
            <w:pPr>
              <w:shd w:val="clear" w:color="auto" w:fill="FFFFFF"/>
              <w:spacing w:after="120"/>
              <w:rPr>
                <w:rFonts w:cs="Calibri"/>
              </w:rPr>
            </w:pPr>
            <w:r w:rsidRPr="002D58B0">
              <w:rPr>
                <w:rFonts w:cs="Calibri"/>
              </w:rPr>
              <w:t>2</w:t>
            </w:r>
          </w:p>
        </w:tc>
        <w:tc>
          <w:tcPr>
            <w:tcW w:w="2540" w:type="dxa"/>
            <w:noWrap/>
            <w:hideMark/>
          </w:tcPr>
          <w:p w14:paraId="7628E787" w14:textId="77777777" w:rsidR="000E557D" w:rsidRPr="002D58B0" w:rsidRDefault="000E557D" w:rsidP="000E557D">
            <w:pPr>
              <w:shd w:val="clear" w:color="auto" w:fill="FFFFFF"/>
              <w:spacing w:after="120"/>
              <w:rPr>
                <w:rFonts w:cs="Calibri"/>
              </w:rPr>
            </w:pPr>
            <w:r w:rsidRPr="002D58B0">
              <w:rPr>
                <w:rFonts w:cs="Calibri"/>
              </w:rPr>
              <w:t>primo anno</w:t>
            </w:r>
          </w:p>
        </w:tc>
        <w:tc>
          <w:tcPr>
            <w:tcW w:w="1760" w:type="dxa"/>
            <w:hideMark/>
          </w:tcPr>
          <w:p w14:paraId="1A472905" w14:textId="77777777" w:rsidR="000E557D" w:rsidRPr="002D58B0" w:rsidRDefault="000E557D" w:rsidP="000E557D">
            <w:pPr>
              <w:shd w:val="clear" w:color="auto" w:fill="FFFFFF"/>
              <w:spacing w:after="120"/>
              <w:rPr>
                <w:rFonts w:cs="Calibri"/>
              </w:rPr>
            </w:pPr>
            <w:r w:rsidRPr="002D58B0">
              <w:rPr>
                <w:rFonts w:cs="Calibri"/>
              </w:rPr>
              <w:t>apr-26</w:t>
            </w:r>
          </w:p>
        </w:tc>
        <w:tc>
          <w:tcPr>
            <w:tcW w:w="1640" w:type="dxa"/>
            <w:hideMark/>
          </w:tcPr>
          <w:p w14:paraId="36FD6BC6"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331C654B" w14:textId="77777777" w:rsidR="000E557D" w:rsidRPr="002D58B0" w:rsidRDefault="000E557D" w:rsidP="000E557D">
            <w:pPr>
              <w:shd w:val="clear" w:color="auto" w:fill="FFFFFF"/>
              <w:spacing w:after="120"/>
              <w:rPr>
                <w:rFonts w:cs="Calibri"/>
              </w:rPr>
            </w:pPr>
            <w:r w:rsidRPr="002D58B0">
              <w:rPr>
                <w:rFonts w:cs="Calibri"/>
              </w:rPr>
              <w:t>Il corso è erogato in inglese. La verifica dell'apprendimento raggiunto al termine del corso potrà essere effettuata mediante un test somministrato alla fine del corso o mediante la redazione di una relazione scritta sui temi del modulo o un colloquio sugli argomenti erogati.</w:t>
            </w:r>
          </w:p>
        </w:tc>
        <w:tc>
          <w:tcPr>
            <w:tcW w:w="4020" w:type="dxa"/>
            <w:hideMark/>
          </w:tcPr>
          <w:p w14:paraId="6366CA55" w14:textId="77777777" w:rsidR="000E557D" w:rsidRPr="002D58B0" w:rsidRDefault="000E557D" w:rsidP="000E557D">
            <w:pPr>
              <w:shd w:val="clear" w:color="auto" w:fill="FFFFFF"/>
              <w:spacing w:after="120"/>
              <w:rPr>
                <w:rFonts w:cs="Calibri"/>
              </w:rPr>
            </w:pPr>
            <w:r w:rsidRPr="002D58B0">
              <w:rPr>
                <w:rFonts w:cs="Calibri"/>
              </w:rPr>
              <w:t xml:space="preserve">Prof. Daniele </w:t>
            </w:r>
            <w:proofErr w:type="spellStart"/>
            <w:r w:rsidRPr="002D58B0">
              <w:rPr>
                <w:rFonts w:cs="Calibri"/>
              </w:rPr>
              <w:t>Ronsivalle</w:t>
            </w:r>
            <w:proofErr w:type="spellEnd"/>
            <w:r w:rsidRPr="002D58B0">
              <w:rPr>
                <w:rFonts w:cs="Calibri"/>
              </w:rPr>
              <w:t xml:space="preserve"> (ICAR/21), Dip. Architettura, Università di Palermo</w:t>
            </w:r>
          </w:p>
        </w:tc>
        <w:tc>
          <w:tcPr>
            <w:tcW w:w="2940" w:type="dxa"/>
            <w:hideMark/>
          </w:tcPr>
          <w:p w14:paraId="796D01C8" w14:textId="77777777" w:rsidR="000E557D" w:rsidRPr="002D58B0" w:rsidRDefault="000E557D" w:rsidP="000E557D">
            <w:pPr>
              <w:shd w:val="clear" w:color="auto" w:fill="FFFFFF"/>
              <w:spacing w:after="120"/>
              <w:rPr>
                <w:rFonts w:cs="Calibri"/>
              </w:rPr>
            </w:pPr>
            <w:r w:rsidRPr="002D58B0">
              <w:rPr>
                <w:rFonts w:cs="Calibri"/>
              </w:rPr>
              <w:t>Dip. Architettura, Università di Palermo</w:t>
            </w:r>
          </w:p>
        </w:tc>
      </w:tr>
      <w:tr w:rsidR="000E557D" w:rsidRPr="00747B86" w14:paraId="065A9F9A" w14:textId="77777777" w:rsidTr="000E557D">
        <w:trPr>
          <w:trHeight w:val="470"/>
        </w:trPr>
        <w:tc>
          <w:tcPr>
            <w:tcW w:w="29100" w:type="dxa"/>
            <w:gridSpan w:val="10"/>
            <w:hideMark/>
          </w:tcPr>
          <w:p w14:paraId="6893BA30" w14:textId="4090BDF7" w:rsidR="000E557D" w:rsidRPr="006E39DB" w:rsidRDefault="000E557D" w:rsidP="006E39DB">
            <w:pPr>
              <w:shd w:val="clear" w:color="auto" w:fill="FFFFFF"/>
              <w:spacing w:after="120"/>
              <w:rPr>
                <w:rFonts w:cs="Calibri"/>
                <w:lang w:val="en-GB"/>
              </w:rPr>
            </w:pPr>
            <w:r w:rsidRPr="006E39DB">
              <w:rPr>
                <w:rFonts w:cs="Calibri"/>
                <w:lang w:val="en-GB"/>
              </w:rPr>
              <w:t xml:space="preserve">Breve </w:t>
            </w:r>
            <w:proofErr w:type="spellStart"/>
            <w:r w:rsidRPr="006E39DB">
              <w:rPr>
                <w:rFonts w:cs="Calibri"/>
                <w:lang w:val="en-GB"/>
              </w:rPr>
              <w:t>descrizione</w:t>
            </w:r>
            <w:proofErr w:type="spellEnd"/>
            <w:r w:rsidRPr="006E39DB">
              <w:rPr>
                <w:rFonts w:cs="Calibri"/>
                <w:lang w:val="en-GB"/>
              </w:rPr>
              <w:t xml:space="preserve">. </w:t>
            </w:r>
            <w:r w:rsidR="006E39DB" w:rsidRPr="006E39DB">
              <w:rPr>
                <w:rFonts w:cs="Calibri"/>
                <w:lang w:val="en-GB"/>
              </w:rPr>
              <w:t>The course offers an examination of the methodological and applicative options relevant to the sustainability of urban development. Students will be called to focus on: the aspects of greater experimental innovation in urban planning regulations, the planning and design of urban spaces, also integrated with energy and transportation issues</w:t>
            </w:r>
            <w:r w:rsidR="006E39DB">
              <w:rPr>
                <w:rFonts w:cs="Calibri"/>
                <w:lang w:val="en-GB"/>
              </w:rPr>
              <w:t xml:space="preserve">; </w:t>
            </w:r>
            <w:r w:rsidR="006E39DB" w:rsidRPr="006E39DB">
              <w:rPr>
                <w:rFonts w:cs="Calibri"/>
                <w:lang w:val="en-GB"/>
              </w:rPr>
              <w:t>the aspects of urban governance applied in the design and implementation of urban development strategies, participation processes and co-design, social engagement, and temporary urban regeneration tactics.</w:t>
            </w:r>
          </w:p>
        </w:tc>
      </w:tr>
      <w:tr w:rsidR="000E557D" w:rsidRPr="002D58B0" w14:paraId="3B2AD061" w14:textId="77777777" w:rsidTr="000E557D">
        <w:trPr>
          <w:trHeight w:val="3290"/>
        </w:trPr>
        <w:tc>
          <w:tcPr>
            <w:tcW w:w="580" w:type="dxa"/>
            <w:noWrap/>
            <w:hideMark/>
          </w:tcPr>
          <w:p w14:paraId="5DA99A74" w14:textId="77777777" w:rsidR="000E557D" w:rsidRPr="002D58B0" w:rsidRDefault="000E557D" w:rsidP="000E557D">
            <w:pPr>
              <w:shd w:val="clear" w:color="auto" w:fill="FFFFFF"/>
              <w:spacing w:after="120"/>
              <w:rPr>
                <w:rFonts w:cs="Calibri"/>
              </w:rPr>
            </w:pPr>
            <w:r w:rsidRPr="002D58B0">
              <w:rPr>
                <w:rFonts w:cs="Calibri"/>
              </w:rPr>
              <w:lastRenderedPageBreak/>
              <w:t>2</w:t>
            </w:r>
          </w:p>
        </w:tc>
        <w:tc>
          <w:tcPr>
            <w:tcW w:w="5280" w:type="dxa"/>
            <w:hideMark/>
          </w:tcPr>
          <w:p w14:paraId="4E97473B" w14:textId="77777777" w:rsidR="000E557D" w:rsidRPr="002D58B0" w:rsidRDefault="000E557D" w:rsidP="000E557D">
            <w:pPr>
              <w:shd w:val="clear" w:color="auto" w:fill="FFFFFF"/>
              <w:spacing w:after="120"/>
              <w:rPr>
                <w:rFonts w:cs="Calibri"/>
                <w:lang w:val="en-GB"/>
              </w:rPr>
            </w:pPr>
            <w:r w:rsidRPr="002D58B0">
              <w:rPr>
                <w:rFonts w:cs="Calibri"/>
                <w:lang w:val="en-GB"/>
              </w:rPr>
              <w:t>Building your reputation through research products: Planning, Drafting, Revising, Publishing and Disseminating your scientific papers</w:t>
            </w:r>
          </w:p>
        </w:tc>
        <w:tc>
          <w:tcPr>
            <w:tcW w:w="1380" w:type="dxa"/>
            <w:hideMark/>
          </w:tcPr>
          <w:p w14:paraId="1C947C46" w14:textId="525AD62B" w:rsidR="000E557D" w:rsidRPr="002D58B0" w:rsidRDefault="000B4D1F" w:rsidP="000E557D">
            <w:pPr>
              <w:shd w:val="clear" w:color="auto" w:fill="FFFFFF"/>
              <w:spacing w:after="120"/>
              <w:rPr>
                <w:rFonts w:cs="Calibri"/>
              </w:rPr>
            </w:pPr>
            <w:r>
              <w:rPr>
                <w:rFonts w:cs="Calibri"/>
              </w:rPr>
              <w:t>5</w:t>
            </w:r>
          </w:p>
        </w:tc>
        <w:tc>
          <w:tcPr>
            <w:tcW w:w="2280" w:type="dxa"/>
            <w:hideMark/>
          </w:tcPr>
          <w:p w14:paraId="07705B1B" w14:textId="2FDAF954" w:rsidR="000E557D" w:rsidRPr="002D58B0" w:rsidRDefault="000B4D1F" w:rsidP="000E557D">
            <w:pPr>
              <w:shd w:val="clear" w:color="auto" w:fill="FFFFFF"/>
              <w:spacing w:after="120"/>
              <w:rPr>
                <w:rFonts w:cs="Calibri"/>
              </w:rPr>
            </w:pPr>
            <w:r>
              <w:rPr>
                <w:rFonts w:cs="Calibri"/>
              </w:rPr>
              <w:t>1</w:t>
            </w:r>
          </w:p>
        </w:tc>
        <w:tc>
          <w:tcPr>
            <w:tcW w:w="2540" w:type="dxa"/>
            <w:noWrap/>
            <w:hideMark/>
          </w:tcPr>
          <w:p w14:paraId="7C63CDD5" w14:textId="77777777" w:rsidR="000E557D" w:rsidRPr="002D58B0" w:rsidRDefault="000E557D" w:rsidP="000E557D">
            <w:pPr>
              <w:shd w:val="clear" w:color="auto" w:fill="FFFFFF"/>
              <w:spacing w:after="120"/>
              <w:rPr>
                <w:rFonts w:cs="Calibri"/>
              </w:rPr>
            </w:pPr>
            <w:r w:rsidRPr="002D58B0">
              <w:rPr>
                <w:rFonts w:cs="Calibri"/>
              </w:rPr>
              <w:t>primo anno</w:t>
            </w:r>
          </w:p>
        </w:tc>
        <w:tc>
          <w:tcPr>
            <w:tcW w:w="1760" w:type="dxa"/>
            <w:hideMark/>
          </w:tcPr>
          <w:p w14:paraId="1BDC58F8" w14:textId="77777777" w:rsidR="000E557D" w:rsidRPr="002D58B0" w:rsidRDefault="000E557D" w:rsidP="000E557D">
            <w:pPr>
              <w:shd w:val="clear" w:color="auto" w:fill="FFFFFF"/>
              <w:spacing w:after="120"/>
              <w:rPr>
                <w:rFonts w:cs="Calibri"/>
              </w:rPr>
            </w:pPr>
            <w:r w:rsidRPr="002D58B0">
              <w:rPr>
                <w:rFonts w:cs="Calibri"/>
              </w:rPr>
              <w:t>apr-26</w:t>
            </w:r>
          </w:p>
        </w:tc>
        <w:tc>
          <w:tcPr>
            <w:tcW w:w="1640" w:type="dxa"/>
            <w:hideMark/>
          </w:tcPr>
          <w:p w14:paraId="6F4DEDD8"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1BAA69D0" w14:textId="77777777" w:rsidR="000E557D" w:rsidRPr="002D58B0" w:rsidRDefault="000E557D" w:rsidP="000E557D">
            <w:pPr>
              <w:shd w:val="clear" w:color="auto" w:fill="FFFFFF"/>
              <w:spacing w:after="120"/>
              <w:rPr>
                <w:rFonts w:cs="Calibri"/>
              </w:rPr>
            </w:pPr>
            <w:r w:rsidRPr="002D58B0">
              <w:rPr>
                <w:rFonts w:cs="Calibri"/>
              </w:rPr>
              <w:t>Il corso è erogato in inglese. La verifica dell'apprendimento raggiunto al termine del corso potrà essere effettuata mediante un test somministrato alla fine del corso o mediante la redazione di una relazione scritta sui temi del modulo o un colloquio sugli argomenti erogati.</w:t>
            </w:r>
          </w:p>
        </w:tc>
        <w:tc>
          <w:tcPr>
            <w:tcW w:w="4020" w:type="dxa"/>
            <w:hideMark/>
          </w:tcPr>
          <w:p w14:paraId="73AA0B3B" w14:textId="77777777" w:rsidR="000E557D" w:rsidRPr="002D58B0" w:rsidRDefault="000E557D" w:rsidP="000E557D">
            <w:pPr>
              <w:shd w:val="clear" w:color="auto" w:fill="FFFFFF"/>
              <w:spacing w:after="120"/>
              <w:rPr>
                <w:rFonts w:cs="Calibri"/>
              </w:rPr>
            </w:pPr>
            <w:r w:rsidRPr="002D58B0">
              <w:rPr>
                <w:rFonts w:cs="Calibri"/>
              </w:rPr>
              <w:t>Prof. Davide Lo Presti (ICAR/21), Dip. Ingegneria, Università di Palermo</w:t>
            </w:r>
          </w:p>
        </w:tc>
        <w:tc>
          <w:tcPr>
            <w:tcW w:w="2940" w:type="dxa"/>
            <w:hideMark/>
          </w:tcPr>
          <w:p w14:paraId="5D7DB8E3" w14:textId="77777777" w:rsidR="000E557D" w:rsidRPr="002D58B0" w:rsidRDefault="000E557D" w:rsidP="000E557D">
            <w:pPr>
              <w:shd w:val="clear" w:color="auto" w:fill="FFFFFF"/>
              <w:spacing w:after="120"/>
              <w:rPr>
                <w:rFonts w:cs="Calibri"/>
              </w:rPr>
            </w:pPr>
            <w:r w:rsidRPr="002D58B0">
              <w:rPr>
                <w:rFonts w:cs="Calibri"/>
              </w:rPr>
              <w:t>Dip. di Ingegneria, Università di Palermo</w:t>
            </w:r>
          </w:p>
        </w:tc>
      </w:tr>
      <w:tr w:rsidR="000E557D" w:rsidRPr="00747B86" w14:paraId="44DF3811" w14:textId="77777777" w:rsidTr="000E557D">
        <w:trPr>
          <w:trHeight w:val="1550"/>
        </w:trPr>
        <w:tc>
          <w:tcPr>
            <w:tcW w:w="29100" w:type="dxa"/>
            <w:gridSpan w:val="10"/>
            <w:hideMark/>
          </w:tcPr>
          <w:p w14:paraId="7488F300" w14:textId="3C463BD2" w:rsidR="000E557D" w:rsidRPr="002D58B0" w:rsidRDefault="000E557D" w:rsidP="000E557D">
            <w:pPr>
              <w:shd w:val="clear" w:color="auto" w:fill="FFFFFF"/>
              <w:spacing w:after="120"/>
              <w:rPr>
                <w:rFonts w:cs="Calibri"/>
                <w:lang w:val="en-GB"/>
              </w:rPr>
            </w:pPr>
            <w:r w:rsidRPr="002D58B0">
              <w:rPr>
                <w:rFonts w:cs="Calibri"/>
                <w:lang w:val="en-GB"/>
              </w:rPr>
              <w:t xml:space="preserve">Breve </w:t>
            </w:r>
            <w:proofErr w:type="spellStart"/>
            <w:r w:rsidRPr="002D58B0">
              <w:rPr>
                <w:rFonts w:cs="Calibri"/>
                <w:lang w:val="en-GB"/>
              </w:rPr>
              <w:t>descrizione</w:t>
            </w:r>
            <w:proofErr w:type="spellEnd"/>
            <w:r w:rsidRPr="002D58B0">
              <w:rPr>
                <w:rFonts w:cs="Calibri"/>
                <w:lang w:val="en-GB"/>
              </w:rPr>
              <w:t xml:space="preserve">. This is a course for any researcher who wants to learn how to plan and draft a scientific </w:t>
            </w:r>
            <w:r w:rsidR="002D58B0" w:rsidRPr="002D58B0">
              <w:rPr>
                <w:rFonts w:cs="Calibri"/>
                <w:lang w:val="en-GB"/>
              </w:rPr>
              <w:t>article but</w:t>
            </w:r>
            <w:r w:rsidRPr="002D58B0">
              <w:rPr>
                <w:rFonts w:cs="Calibri"/>
                <w:lang w:val="en-GB"/>
              </w:rPr>
              <w:t xml:space="preserve"> also build an international reputation by implementing communication methodologies focused on the strategic use of social media. The course will be developed in two 4-hour workshops interspersed with a short period in which students will read some material provided by the lecturer during the first class, and then then put into practice some of the concepts already within the second class. The classes will be highly interactive and focused on group work.</w:t>
            </w:r>
          </w:p>
        </w:tc>
      </w:tr>
      <w:tr w:rsidR="000E557D" w:rsidRPr="002D58B0" w14:paraId="2C1C68C9" w14:textId="77777777" w:rsidTr="000E557D">
        <w:trPr>
          <w:trHeight w:val="3290"/>
        </w:trPr>
        <w:tc>
          <w:tcPr>
            <w:tcW w:w="580" w:type="dxa"/>
            <w:noWrap/>
            <w:hideMark/>
          </w:tcPr>
          <w:p w14:paraId="4276C1C3" w14:textId="77777777" w:rsidR="000E557D" w:rsidRPr="002D58B0" w:rsidRDefault="000E557D" w:rsidP="000E557D">
            <w:pPr>
              <w:shd w:val="clear" w:color="auto" w:fill="FFFFFF"/>
              <w:spacing w:after="120"/>
              <w:rPr>
                <w:rFonts w:cs="Calibri"/>
              </w:rPr>
            </w:pPr>
            <w:r w:rsidRPr="002D58B0">
              <w:rPr>
                <w:rFonts w:cs="Calibri"/>
              </w:rPr>
              <w:t>3</w:t>
            </w:r>
          </w:p>
        </w:tc>
        <w:tc>
          <w:tcPr>
            <w:tcW w:w="5280" w:type="dxa"/>
            <w:hideMark/>
          </w:tcPr>
          <w:p w14:paraId="60F42AA8" w14:textId="5C698ED3" w:rsidR="000E557D" w:rsidRPr="002D58B0" w:rsidRDefault="000E557D" w:rsidP="000E557D">
            <w:pPr>
              <w:shd w:val="clear" w:color="auto" w:fill="FFFFFF"/>
              <w:spacing w:after="120"/>
              <w:rPr>
                <w:rFonts w:cs="Calibri"/>
                <w:lang w:val="en-GB"/>
              </w:rPr>
            </w:pPr>
            <w:r w:rsidRPr="002D58B0">
              <w:rPr>
                <w:rFonts w:cs="Calibri"/>
                <w:lang w:val="en-GB"/>
              </w:rPr>
              <w:t xml:space="preserve">Management </w:t>
            </w:r>
            <w:r w:rsidR="00574A11">
              <w:rPr>
                <w:rFonts w:cs="Calibri"/>
                <w:lang w:val="en-GB"/>
              </w:rPr>
              <w:t>s</w:t>
            </w:r>
            <w:r w:rsidRPr="002D58B0">
              <w:rPr>
                <w:rFonts w:cs="Calibri"/>
                <w:lang w:val="en-GB"/>
              </w:rPr>
              <w:t>ystems for the ecological transition of organisations</w:t>
            </w:r>
          </w:p>
        </w:tc>
        <w:tc>
          <w:tcPr>
            <w:tcW w:w="1380" w:type="dxa"/>
            <w:hideMark/>
          </w:tcPr>
          <w:p w14:paraId="1215608D" w14:textId="77777777" w:rsidR="000E557D" w:rsidRPr="002D58B0" w:rsidRDefault="000E557D" w:rsidP="000E557D">
            <w:pPr>
              <w:shd w:val="clear" w:color="auto" w:fill="FFFFFF"/>
              <w:spacing w:after="120"/>
              <w:rPr>
                <w:rFonts w:cs="Calibri"/>
              </w:rPr>
            </w:pPr>
            <w:r w:rsidRPr="002D58B0">
              <w:rPr>
                <w:rFonts w:cs="Calibri"/>
              </w:rPr>
              <w:t>5</w:t>
            </w:r>
          </w:p>
        </w:tc>
        <w:tc>
          <w:tcPr>
            <w:tcW w:w="2280" w:type="dxa"/>
            <w:hideMark/>
          </w:tcPr>
          <w:p w14:paraId="5925BBD1" w14:textId="77777777" w:rsidR="000E557D" w:rsidRPr="002D58B0" w:rsidRDefault="000E557D" w:rsidP="000E557D">
            <w:pPr>
              <w:shd w:val="clear" w:color="auto" w:fill="FFFFFF"/>
              <w:spacing w:after="120"/>
              <w:rPr>
                <w:rFonts w:cs="Calibri"/>
              </w:rPr>
            </w:pPr>
            <w:r w:rsidRPr="002D58B0">
              <w:rPr>
                <w:rFonts w:cs="Calibri"/>
              </w:rPr>
              <w:t>1</w:t>
            </w:r>
          </w:p>
        </w:tc>
        <w:tc>
          <w:tcPr>
            <w:tcW w:w="2540" w:type="dxa"/>
            <w:noWrap/>
            <w:hideMark/>
          </w:tcPr>
          <w:p w14:paraId="17A31C6A" w14:textId="77777777" w:rsidR="000E557D" w:rsidRPr="002D58B0" w:rsidRDefault="000E557D" w:rsidP="000E557D">
            <w:pPr>
              <w:shd w:val="clear" w:color="auto" w:fill="FFFFFF"/>
              <w:spacing w:after="120"/>
              <w:rPr>
                <w:rFonts w:cs="Calibri"/>
              </w:rPr>
            </w:pPr>
            <w:r w:rsidRPr="002D58B0">
              <w:rPr>
                <w:rFonts w:cs="Calibri"/>
              </w:rPr>
              <w:t>primo anno</w:t>
            </w:r>
          </w:p>
        </w:tc>
        <w:tc>
          <w:tcPr>
            <w:tcW w:w="1760" w:type="dxa"/>
            <w:hideMark/>
          </w:tcPr>
          <w:p w14:paraId="6785E007" w14:textId="77777777" w:rsidR="000E557D" w:rsidRPr="002D58B0" w:rsidRDefault="000E557D" w:rsidP="000E557D">
            <w:pPr>
              <w:shd w:val="clear" w:color="auto" w:fill="FFFFFF"/>
              <w:spacing w:after="120"/>
              <w:rPr>
                <w:rFonts w:cs="Calibri"/>
              </w:rPr>
            </w:pPr>
            <w:r w:rsidRPr="002D58B0">
              <w:rPr>
                <w:rFonts w:cs="Calibri"/>
              </w:rPr>
              <w:t>apr-26</w:t>
            </w:r>
          </w:p>
        </w:tc>
        <w:tc>
          <w:tcPr>
            <w:tcW w:w="1640" w:type="dxa"/>
            <w:hideMark/>
          </w:tcPr>
          <w:p w14:paraId="15F05E5D"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4160C5E4" w14:textId="77777777" w:rsidR="000E557D" w:rsidRPr="002D58B0" w:rsidRDefault="000E557D" w:rsidP="000E557D">
            <w:pPr>
              <w:shd w:val="clear" w:color="auto" w:fill="FFFFFF"/>
              <w:spacing w:after="120"/>
              <w:rPr>
                <w:rFonts w:cs="Calibri"/>
              </w:rPr>
            </w:pPr>
            <w:r w:rsidRPr="002D58B0">
              <w:rPr>
                <w:rFonts w:cs="Calibri"/>
              </w:rPr>
              <w:t xml:space="preserve">Il corso è erogato in inglese. La verifica dell'apprendimento raggiunto al termine del corso potrà essere effettuata mediante un test somministrato alla fine del corso o mediante la redazione di una </w:t>
            </w:r>
            <w:r w:rsidRPr="002D58B0">
              <w:rPr>
                <w:rFonts w:cs="Calibri"/>
              </w:rPr>
              <w:lastRenderedPageBreak/>
              <w:t>relazione scritta sui temi del modulo o un colloquio sugli argomenti erogati.</w:t>
            </w:r>
          </w:p>
        </w:tc>
        <w:tc>
          <w:tcPr>
            <w:tcW w:w="4020" w:type="dxa"/>
            <w:hideMark/>
          </w:tcPr>
          <w:p w14:paraId="389486D5" w14:textId="02EA8828" w:rsidR="000E557D" w:rsidRPr="002D58B0" w:rsidRDefault="000E557D" w:rsidP="000E557D">
            <w:pPr>
              <w:shd w:val="clear" w:color="auto" w:fill="FFFFFF"/>
              <w:spacing w:after="120"/>
              <w:rPr>
                <w:rFonts w:cs="Calibri"/>
              </w:rPr>
            </w:pPr>
            <w:r w:rsidRPr="002D58B0">
              <w:rPr>
                <w:rFonts w:cs="Calibri"/>
              </w:rPr>
              <w:lastRenderedPageBreak/>
              <w:t xml:space="preserve">Prof. Giuseppe </w:t>
            </w:r>
            <w:proofErr w:type="spellStart"/>
            <w:r w:rsidRPr="002D58B0">
              <w:rPr>
                <w:rFonts w:cs="Calibri"/>
              </w:rPr>
              <w:t>Saija</w:t>
            </w:r>
            <w:proofErr w:type="spellEnd"/>
            <w:r w:rsidRPr="002D58B0">
              <w:rPr>
                <w:rFonts w:cs="Calibri"/>
              </w:rPr>
              <w:t xml:space="preserve"> (SECS-P/13), Dip. di Economia, Università di Messina</w:t>
            </w:r>
          </w:p>
        </w:tc>
        <w:tc>
          <w:tcPr>
            <w:tcW w:w="2940" w:type="dxa"/>
            <w:hideMark/>
          </w:tcPr>
          <w:p w14:paraId="35056C67" w14:textId="58990F3D" w:rsidR="000E557D" w:rsidRPr="002D58B0" w:rsidRDefault="000E557D" w:rsidP="000E557D">
            <w:pPr>
              <w:shd w:val="clear" w:color="auto" w:fill="FFFFFF"/>
              <w:spacing w:after="120"/>
              <w:rPr>
                <w:rFonts w:cs="Calibri"/>
              </w:rPr>
            </w:pPr>
            <w:r w:rsidRPr="002D58B0">
              <w:rPr>
                <w:rFonts w:cs="Calibri"/>
              </w:rPr>
              <w:t>Dip. di Economia, Università di Messina</w:t>
            </w:r>
          </w:p>
        </w:tc>
      </w:tr>
      <w:tr w:rsidR="000E557D" w:rsidRPr="00747B86" w14:paraId="0C53B93F" w14:textId="77777777" w:rsidTr="000E557D">
        <w:trPr>
          <w:trHeight w:val="1920"/>
        </w:trPr>
        <w:tc>
          <w:tcPr>
            <w:tcW w:w="29100" w:type="dxa"/>
            <w:gridSpan w:val="10"/>
            <w:hideMark/>
          </w:tcPr>
          <w:p w14:paraId="58ECB7CB" w14:textId="77777777" w:rsidR="000E557D" w:rsidRPr="002D58B0" w:rsidRDefault="000E557D" w:rsidP="000E557D">
            <w:pPr>
              <w:shd w:val="clear" w:color="auto" w:fill="FFFFFF"/>
              <w:spacing w:after="120"/>
              <w:rPr>
                <w:rFonts w:cs="Calibri"/>
                <w:lang w:val="en-GB"/>
              </w:rPr>
            </w:pPr>
            <w:r w:rsidRPr="002D58B0">
              <w:rPr>
                <w:rFonts w:cs="Calibri"/>
                <w:lang w:val="en-GB"/>
              </w:rPr>
              <w:t xml:space="preserve">Breve </w:t>
            </w:r>
            <w:proofErr w:type="spellStart"/>
            <w:r w:rsidRPr="002D58B0">
              <w:rPr>
                <w:rFonts w:cs="Calibri"/>
                <w:lang w:val="en-GB"/>
              </w:rPr>
              <w:t>descrizione</w:t>
            </w:r>
            <w:proofErr w:type="spellEnd"/>
            <w:r w:rsidRPr="002D58B0">
              <w:rPr>
                <w:rFonts w:cs="Calibri"/>
                <w:lang w:val="en-GB"/>
              </w:rPr>
              <w:t>. The aim of the course is to enable PhD students to acquire the principles and concepts of management systems (MSs) for the correct application of the relevant technical regulations to support the ecological transition of organisations. The implementation of MSs is becoming more and more widespread, thanks also to the characteristics of universal applicability and the possibility of synergic integration of management systems adopted flexibly by an organisation, depending on its specific needs. The course is structured according to the following main points: basic principles and concepts of MSs; MSs standardisation; MSs for ecological transition.</w:t>
            </w:r>
          </w:p>
        </w:tc>
      </w:tr>
      <w:tr w:rsidR="000E557D" w:rsidRPr="002D58B0" w14:paraId="38C0659C" w14:textId="77777777" w:rsidTr="000E557D">
        <w:trPr>
          <w:trHeight w:val="3290"/>
        </w:trPr>
        <w:tc>
          <w:tcPr>
            <w:tcW w:w="580" w:type="dxa"/>
            <w:noWrap/>
            <w:hideMark/>
          </w:tcPr>
          <w:p w14:paraId="02F658D8" w14:textId="77777777" w:rsidR="000E557D" w:rsidRPr="002D58B0" w:rsidRDefault="000E557D" w:rsidP="000E557D">
            <w:pPr>
              <w:shd w:val="clear" w:color="auto" w:fill="FFFFFF"/>
              <w:spacing w:after="120"/>
              <w:rPr>
                <w:rFonts w:cs="Calibri"/>
              </w:rPr>
            </w:pPr>
            <w:r w:rsidRPr="002D58B0">
              <w:rPr>
                <w:rFonts w:cs="Calibri"/>
              </w:rPr>
              <w:t>4</w:t>
            </w:r>
          </w:p>
        </w:tc>
        <w:tc>
          <w:tcPr>
            <w:tcW w:w="5280" w:type="dxa"/>
            <w:noWrap/>
            <w:hideMark/>
          </w:tcPr>
          <w:p w14:paraId="3FBAF75D" w14:textId="77777777" w:rsidR="000E557D" w:rsidRPr="002D58B0" w:rsidRDefault="000E557D" w:rsidP="000E557D">
            <w:pPr>
              <w:shd w:val="clear" w:color="auto" w:fill="FFFFFF"/>
              <w:spacing w:after="120"/>
              <w:rPr>
                <w:rFonts w:cs="Calibri"/>
              </w:rPr>
            </w:pPr>
            <w:proofErr w:type="spellStart"/>
            <w:r w:rsidRPr="002D58B0">
              <w:rPr>
                <w:rFonts w:cs="Calibri"/>
              </w:rPr>
              <w:t>Nutrition</w:t>
            </w:r>
            <w:proofErr w:type="spellEnd"/>
            <w:r w:rsidRPr="002D58B0">
              <w:rPr>
                <w:rFonts w:cs="Calibri"/>
              </w:rPr>
              <w:t xml:space="preserve"> and health</w:t>
            </w:r>
          </w:p>
        </w:tc>
        <w:tc>
          <w:tcPr>
            <w:tcW w:w="1380" w:type="dxa"/>
            <w:noWrap/>
            <w:hideMark/>
          </w:tcPr>
          <w:p w14:paraId="02B07AAA" w14:textId="77777777" w:rsidR="000E557D" w:rsidRPr="002D58B0" w:rsidRDefault="000E557D" w:rsidP="000E557D">
            <w:pPr>
              <w:shd w:val="clear" w:color="auto" w:fill="FFFFFF"/>
              <w:spacing w:after="120"/>
              <w:rPr>
                <w:rFonts w:cs="Calibri"/>
              </w:rPr>
            </w:pPr>
            <w:r w:rsidRPr="002D58B0">
              <w:rPr>
                <w:rFonts w:cs="Calibri"/>
              </w:rPr>
              <w:t>10</w:t>
            </w:r>
          </w:p>
        </w:tc>
        <w:tc>
          <w:tcPr>
            <w:tcW w:w="2280" w:type="dxa"/>
            <w:hideMark/>
          </w:tcPr>
          <w:p w14:paraId="475E8800" w14:textId="77777777" w:rsidR="000E557D" w:rsidRPr="002D58B0" w:rsidRDefault="000E557D" w:rsidP="000E557D">
            <w:pPr>
              <w:shd w:val="clear" w:color="auto" w:fill="FFFFFF"/>
              <w:spacing w:after="120"/>
              <w:rPr>
                <w:rFonts w:cs="Calibri"/>
              </w:rPr>
            </w:pPr>
            <w:r w:rsidRPr="002D58B0">
              <w:rPr>
                <w:rFonts w:cs="Calibri"/>
              </w:rPr>
              <w:t>2</w:t>
            </w:r>
          </w:p>
        </w:tc>
        <w:tc>
          <w:tcPr>
            <w:tcW w:w="2540" w:type="dxa"/>
            <w:noWrap/>
            <w:hideMark/>
          </w:tcPr>
          <w:p w14:paraId="10944358" w14:textId="77777777" w:rsidR="000E557D" w:rsidRPr="002D58B0" w:rsidRDefault="000E557D" w:rsidP="000E557D">
            <w:pPr>
              <w:shd w:val="clear" w:color="auto" w:fill="FFFFFF"/>
              <w:spacing w:after="120"/>
              <w:rPr>
                <w:rFonts w:cs="Calibri"/>
              </w:rPr>
            </w:pPr>
            <w:r w:rsidRPr="002D58B0">
              <w:rPr>
                <w:rFonts w:cs="Calibri"/>
              </w:rPr>
              <w:t xml:space="preserve">first </w:t>
            </w:r>
            <w:proofErr w:type="spellStart"/>
            <w:r w:rsidRPr="002D58B0">
              <w:rPr>
                <w:rFonts w:cs="Calibri"/>
              </w:rPr>
              <w:t>year</w:t>
            </w:r>
            <w:proofErr w:type="spellEnd"/>
          </w:p>
        </w:tc>
        <w:tc>
          <w:tcPr>
            <w:tcW w:w="1760" w:type="dxa"/>
            <w:hideMark/>
          </w:tcPr>
          <w:p w14:paraId="22E83B32" w14:textId="77777777" w:rsidR="000E557D" w:rsidRPr="002D58B0" w:rsidRDefault="000E557D" w:rsidP="000E557D">
            <w:pPr>
              <w:shd w:val="clear" w:color="auto" w:fill="FFFFFF"/>
              <w:spacing w:after="120"/>
              <w:rPr>
                <w:rFonts w:cs="Calibri"/>
              </w:rPr>
            </w:pPr>
            <w:r w:rsidRPr="002D58B0">
              <w:rPr>
                <w:rFonts w:cs="Calibri"/>
              </w:rPr>
              <w:t>mag-26</w:t>
            </w:r>
          </w:p>
        </w:tc>
        <w:tc>
          <w:tcPr>
            <w:tcW w:w="1640" w:type="dxa"/>
            <w:hideMark/>
          </w:tcPr>
          <w:p w14:paraId="4233B7CB"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551EBD4A" w14:textId="77777777" w:rsidR="000E557D" w:rsidRPr="002D58B0" w:rsidRDefault="000E557D" w:rsidP="000E557D">
            <w:pPr>
              <w:shd w:val="clear" w:color="auto" w:fill="FFFFFF"/>
              <w:spacing w:after="120"/>
              <w:rPr>
                <w:rFonts w:cs="Calibri"/>
              </w:rPr>
            </w:pPr>
            <w:r w:rsidRPr="002D58B0">
              <w:rPr>
                <w:rFonts w:cs="Calibri"/>
              </w:rPr>
              <w:t>Il corso è erogato in inglese. La verifica dell'apprendimento raggiunto al termine del corso potrà essere effettuata mediante un test somministrato alla fine del corso o mediante la redazione di una relazione scritta sui temi del modulo o un colloquio sugli argomenti erogati.</w:t>
            </w:r>
          </w:p>
        </w:tc>
        <w:tc>
          <w:tcPr>
            <w:tcW w:w="4020" w:type="dxa"/>
            <w:hideMark/>
          </w:tcPr>
          <w:p w14:paraId="175091DB" w14:textId="77777777" w:rsidR="000E557D" w:rsidRPr="002D58B0" w:rsidRDefault="000E557D" w:rsidP="000E557D">
            <w:pPr>
              <w:shd w:val="clear" w:color="auto" w:fill="FFFFFF"/>
              <w:spacing w:after="120"/>
              <w:rPr>
                <w:rFonts w:cs="Calibri"/>
              </w:rPr>
            </w:pPr>
            <w:r w:rsidRPr="002D58B0">
              <w:rPr>
                <w:rFonts w:cs="Calibri"/>
              </w:rPr>
              <w:t>Prof. Silvio Buscemi (MED/49), Dip. Promozione Della Salute, Materno-Infantile, di Medicina Interna e Specialistica di Eccellenza “G. D’Alessandro”, Università di Palermo</w:t>
            </w:r>
          </w:p>
        </w:tc>
        <w:tc>
          <w:tcPr>
            <w:tcW w:w="2940" w:type="dxa"/>
            <w:hideMark/>
          </w:tcPr>
          <w:p w14:paraId="08F84D76" w14:textId="77777777" w:rsidR="000E557D" w:rsidRPr="002D58B0" w:rsidRDefault="000E557D" w:rsidP="000E557D">
            <w:pPr>
              <w:shd w:val="clear" w:color="auto" w:fill="FFFFFF"/>
              <w:spacing w:after="120"/>
              <w:rPr>
                <w:rFonts w:cs="Calibri"/>
              </w:rPr>
            </w:pPr>
            <w:r w:rsidRPr="002D58B0">
              <w:rPr>
                <w:rFonts w:cs="Calibri"/>
              </w:rPr>
              <w:t>Dip. Promozione Della Salute, Materno-Infantile, di Medicina Interna e Specialistica di Eccellenz</w:t>
            </w:r>
            <w:r w:rsidRPr="002D58B0">
              <w:rPr>
                <w:rFonts w:cs="Calibri"/>
              </w:rPr>
              <w:lastRenderedPageBreak/>
              <w:t>a “G. D’Alessandro”, Università di Palermo</w:t>
            </w:r>
          </w:p>
        </w:tc>
      </w:tr>
      <w:tr w:rsidR="000E557D" w:rsidRPr="00747B86" w14:paraId="4AA2E7FD" w14:textId="77777777" w:rsidTr="000E557D">
        <w:trPr>
          <w:trHeight w:val="3810"/>
        </w:trPr>
        <w:tc>
          <w:tcPr>
            <w:tcW w:w="29100" w:type="dxa"/>
            <w:gridSpan w:val="10"/>
            <w:hideMark/>
          </w:tcPr>
          <w:p w14:paraId="4806DEEC" w14:textId="23C3CAD5" w:rsidR="000E557D" w:rsidRPr="002D58B0" w:rsidRDefault="000E557D" w:rsidP="000E557D">
            <w:pPr>
              <w:shd w:val="clear" w:color="auto" w:fill="FFFFFF"/>
              <w:spacing w:after="120"/>
              <w:rPr>
                <w:rFonts w:cs="Calibri"/>
                <w:lang w:val="en-GB"/>
              </w:rPr>
            </w:pPr>
            <w:r w:rsidRPr="002D58B0">
              <w:rPr>
                <w:rFonts w:cs="Calibri"/>
                <w:lang w:val="en-GB"/>
              </w:rPr>
              <w:lastRenderedPageBreak/>
              <w:t xml:space="preserve">Breve </w:t>
            </w:r>
            <w:proofErr w:type="spellStart"/>
            <w:r w:rsidRPr="002D58B0">
              <w:rPr>
                <w:rFonts w:cs="Calibri"/>
                <w:lang w:val="en-GB"/>
              </w:rPr>
              <w:t>descrizione</w:t>
            </w:r>
            <w:proofErr w:type="spellEnd"/>
            <w:r w:rsidRPr="002D58B0">
              <w:rPr>
                <w:rFonts w:cs="Calibri"/>
                <w:lang w:val="en-GB"/>
              </w:rPr>
              <w:t xml:space="preserve">. The course aims to provide knowledge on the relationships between nutrition, lifestyle and health, with </w:t>
            </w:r>
            <w:r w:rsidR="002D58B0" w:rsidRPr="002D58B0">
              <w:rPr>
                <w:rFonts w:cs="Calibri"/>
                <w:lang w:val="en-GB"/>
              </w:rPr>
              <w:t>reference</w:t>
            </w:r>
            <w:r w:rsidRPr="002D58B0">
              <w:rPr>
                <w:rFonts w:cs="Calibri"/>
                <w:lang w:val="en-GB"/>
              </w:rPr>
              <w:t xml:space="preserve"> to clinical conditions such as obesity, diabetes, cardiovascular diseases and </w:t>
            </w:r>
            <w:proofErr w:type="spellStart"/>
            <w:r w:rsidRPr="002D58B0">
              <w:rPr>
                <w:rFonts w:cs="Calibri"/>
                <w:lang w:val="en-GB"/>
              </w:rPr>
              <w:t>tumors</w:t>
            </w:r>
            <w:proofErr w:type="spellEnd"/>
            <w:r w:rsidRPr="002D58B0">
              <w:rPr>
                <w:rFonts w:cs="Calibri"/>
                <w:lang w:val="en-GB"/>
              </w:rPr>
              <w:t xml:space="preserve"> of particular interest due to their diffusion and environmental and socioeconomic implications. In addition, the area of malnutrition due to deficiency and excess will be specifically addressed. Reference will be made to the </w:t>
            </w:r>
            <w:proofErr w:type="spellStart"/>
            <w:r w:rsidRPr="002D58B0">
              <w:rPr>
                <w:rFonts w:cs="Calibri"/>
                <w:lang w:val="en-GB"/>
              </w:rPr>
              <w:t>physiopathological</w:t>
            </w:r>
            <w:proofErr w:type="spellEnd"/>
            <w:r w:rsidRPr="002D58B0">
              <w:rPr>
                <w:rFonts w:cs="Calibri"/>
                <w:lang w:val="en-GB"/>
              </w:rPr>
              <w:t xml:space="preserve"> mechanisms through which diet influences the clinical conditions of reference. The course also aims to provide cultural bases, including data collection and communication methodologies, for intervention activities in the nutritional field of an educational nature, including programs and campaigns aimed at promoting healthy lifestyles. A biosocial approach to diet will be proposed, addressing the most current issues relating to multiracial society and inequalities. The theme of the Mediterranean Diet in its historical-scientific evolution will be addressed. Reference will be made to the model of centenarians and village life for the comparative analysis with the phenomena of urbanization. Keywords: malnutrition, obesity, diabetes, cardiovascular disease, </w:t>
            </w:r>
            <w:proofErr w:type="spellStart"/>
            <w:r w:rsidRPr="002D58B0">
              <w:rPr>
                <w:rFonts w:cs="Calibri"/>
                <w:lang w:val="en-GB"/>
              </w:rPr>
              <w:t>tumors</w:t>
            </w:r>
            <w:proofErr w:type="spellEnd"/>
            <w:r w:rsidRPr="002D58B0">
              <w:rPr>
                <w:rFonts w:cs="Calibri"/>
                <w:lang w:val="en-GB"/>
              </w:rPr>
              <w:t>, diet, Mediterranean diet, street food, centenarians, village life, urbanization, endothelial function, energy balance, appetite, aging, inequalities.</w:t>
            </w:r>
          </w:p>
        </w:tc>
      </w:tr>
      <w:tr w:rsidR="000E557D" w:rsidRPr="002D58B0" w14:paraId="0887BC9B" w14:textId="77777777" w:rsidTr="000E557D">
        <w:trPr>
          <w:trHeight w:val="3290"/>
        </w:trPr>
        <w:tc>
          <w:tcPr>
            <w:tcW w:w="580" w:type="dxa"/>
            <w:noWrap/>
            <w:hideMark/>
          </w:tcPr>
          <w:p w14:paraId="66AAB019" w14:textId="77777777" w:rsidR="000E557D" w:rsidRPr="002D58B0" w:rsidRDefault="000E557D" w:rsidP="000E557D">
            <w:pPr>
              <w:shd w:val="clear" w:color="auto" w:fill="FFFFFF"/>
              <w:spacing w:after="120"/>
              <w:rPr>
                <w:rFonts w:cs="Calibri"/>
              </w:rPr>
            </w:pPr>
            <w:r w:rsidRPr="002D58B0">
              <w:rPr>
                <w:rFonts w:cs="Calibri"/>
              </w:rPr>
              <w:t>5</w:t>
            </w:r>
          </w:p>
        </w:tc>
        <w:tc>
          <w:tcPr>
            <w:tcW w:w="5280" w:type="dxa"/>
            <w:hideMark/>
          </w:tcPr>
          <w:p w14:paraId="3D328B18" w14:textId="77777777" w:rsidR="000E557D" w:rsidRPr="002D58B0" w:rsidRDefault="000E557D" w:rsidP="000E557D">
            <w:pPr>
              <w:shd w:val="clear" w:color="auto" w:fill="FFFFFF"/>
              <w:spacing w:after="120"/>
              <w:rPr>
                <w:rFonts w:cs="Calibri"/>
                <w:lang w:val="en-GB"/>
              </w:rPr>
            </w:pPr>
            <w:r w:rsidRPr="002D58B0">
              <w:rPr>
                <w:rFonts w:cs="Calibri"/>
                <w:lang w:val="en-GB"/>
              </w:rPr>
              <w:t>Agri-food production and environment</w:t>
            </w:r>
          </w:p>
        </w:tc>
        <w:tc>
          <w:tcPr>
            <w:tcW w:w="1380" w:type="dxa"/>
            <w:hideMark/>
          </w:tcPr>
          <w:p w14:paraId="570EF3A8" w14:textId="77777777" w:rsidR="000E557D" w:rsidRPr="002D58B0" w:rsidRDefault="000E557D" w:rsidP="000E557D">
            <w:pPr>
              <w:shd w:val="clear" w:color="auto" w:fill="FFFFFF"/>
              <w:spacing w:after="120"/>
              <w:rPr>
                <w:rFonts w:cs="Calibri"/>
              </w:rPr>
            </w:pPr>
            <w:r w:rsidRPr="002D58B0">
              <w:rPr>
                <w:rFonts w:cs="Calibri"/>
              </w:rPr>
              <w:t>5</w:t>
            </w:r>
          </w:p>
        </w:tc>
        <w:tc>
          <w:tcPr>
            <w:tcW w:w="2280" w:type="dxa"/>
            <w:hideMark/>
          </w:tcPr>
          <w:p w14:paraId="73A648FF" w14:textId="77777777" w:rsidR="000E557D" w:rsidRPr="002D58B0" w:rsidRDefault="000E557D" w:rsidP="000E557D">
            <w:pPr>
              <w:shd w:val="clear" w:color="auto" w:fill="FFFFFF"/>
              <w:spacing w:after="120"/>
              <w:rPr>
                <w:rFonts w:cs="Calibri"/>
              </w:rPr>
            </w:pPr>
            <w:r w:rsidRPr="002D58B0">
              <w:rPr>
                <w:rFonts w:cs="Calibri"/>
              </w:rPr>
              <w:t>1</w:t>
            </w:r>
          </w:p>
        </w:tc>
        <w:tc>
          <w:tcPr>
            <w:tcW w:w="2540" w:type="dxa"/>
            <w:noWrap/>
            <w:hideMark/>
          </w:tcPr>
          <w:p w14:paraId="4D4B5E17" w14:textId="77777777" w:rsidR="000E557D" w:rsidRPr="002D58B0" w:rsidRDefault="000E557D" w:rsidP="000E557D">
            <w:pPr>
              <w:shd w:val="clear" w:color="auto" w:fill="FFFFFF"/>
              <w:spacing w:after="120"/>
              <w:rPr>
                <w:rFonts w:cs="Calibri"/>
              </w:rPr>
            </w:pPr>
            <w:r w:rsidRPr="002D58B0">
              <w:rPr>
                <w:rFonts w:cs="Calibri"/>
              </w:rPr>
              <w:t>primo anno</w:t>
            </w:r>
          </w:p>
        </w:tc>
        <w:tc>
          <w:tcPr>
            <w:tcW w:w="1760" w:type="dxa"/>
            <w:hideMark/>
          </w:tcPr>
          <w:p w14:paraId="5F657125" w14:textId="77777777" w:rsidR="000E557D" w:rsidRPr="002D58B0" w:rsidRDefault="000E557D" w:rsidP="000E557D">
            <w:pPr>
              <w:shd w:val="clear" w:color="auto" w:fill="FFFFFF"/>
              <w:spacing w:after="120"/>
              <w:rPr>
                <w:rFonts w:cs="Calibri"/>
              </w:rPr>
            </w:pPr>
            <w:r w:rsidRPr="002D58B0">
              <w:rPr>
                <w:rFonts w:cs="Calibri"/>
              </w:rPr>
              <w:t>mag-26</w:t>
            </w:r>
          </w:p>
        </w:tc>
        <w:tc>
          <w:tcPr>
            <w:tcW w:w="1640" w:type="dxa"/>
            <w:hideMark/>
          </w:tcPr>
          <w:p w14:paraId="51B27BA5"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473E55AA" w14:textId="77777777" w:rsidR="000E557D" w:rsidRPr="002D58B0" w:rsidRDefault="000E557D" w:rsidP="000E557D">
            <w:pPr>
              <w:shd w:val="clear" w:color="auto" w:fill="FFFFFF"/>
              <w:spacing w:after="120"/>
              <w:rPr>
                <w:rFonts w:cs="Calibri"/>
              </w:rPr>
            </w:pPr>
            <w:r w:rsidRPr="002D58B0">
              <w:rPr>
                <w:rFonts w:cs="Calibri"/>
              </w:rPr>
              <w:t xml:space="preserve">Il corso è erogato in inglese. La verifica dell'apprendimento raggiunto al termine del corso potrà essere effettuata mediante un test somministrato alla fine del corso o mediante la redazione di una </w:t>
            </w:r>
            <w:r w:rsidRPr="002D58B0">
              <w:rPr>
                <w:rFonts w:cs="Calibri"/>
              </w:rPr>
              <w:lastRenderedPageBreak/>
              <w:t>relazione scritta sui temi del modulo o un colloquio sugli argomenti erogati.</w:t>
            </w:r>
          </w:p>
        </w:tc>
        <w:tc>
          <w:tcPr>
            <w:tcW w:w="4020" w:type="dxa"/>
            <w:hideMark/>
          </w:tcPr>
          <w:p w14:paraId="3D6923BD" w14:textId="77777777" w:rsidR="000E557D" w:rsidRPr="002D58B0" w:rsidRDefault="000E557D" w:rsidP="000E557D">
            <w:pPr>
              <w:shd w:val="clear" w:color="auto" w:fill="FFFFFF"/>
              <w:spacing w:after="120"/>
              <w:rPr>
                <w:rFonts w:cs="Calibri"/>
              </w:rPr>
            </w:pPr>
            <w:r w:rsidRPr="002D58B0">
              <w:rPr>
                <w:rFonts w:cs="Calibri"/>
              </w:rPr>
              <w:lastRenderedPageBreak/>
              <w:t xml:space="preserve">Prof. Francesco </w:t>
            </w:r>
            <w:proofErr w:type="spellStart"/>
            <w:r w:rsidRPr="002D58B0">
              <w:rPr>
                <w:rFonts w:cs="Calibri"/>
              </w:rPr>
              <w:t>Lanuzza</w:t>
            </w:r>
            <w:proofErr w:type="spellEnd"/>
            <w:r w:rsidRPr="002D58B0">
              <w:rPr>
                <w:rFonts w:cs="Calibri"/>
              </w:rPr>
              <w:t xml:space="preserve"> (SECS-P/13), Dip. di Economia, </w:t>
            </w:r>
            <w:proofErr w:type="spellStart"/>
            <w:r w:rsidRPr="002D58B0">
              <w:rPr>
                <w:rFonts w:cs="Calibri"/>
              </w:rPr>
              <w:t>Unviersità</w:t>
            </w:r>
            <w:proofErr w:type="spellEnd"/>
            <w:r w:rsidRPr="002D58B0">
              <w:rPr>
                <w:rFonts w:cs="Calibri"/>
              </w:rPr>
              <w:t xml:space="preserve"> di Messina</w:t>
            </w:r>
          </w:p>
        </w:tc>
        <w:tc>
          <w:tcPr>
            <w:tcW w:w="2940" w:type="dxa"/>
            <w:hideMark/>
          </w:tcPr>
          <w:p w14:paraId="058CE05B" w14:textId="77777777" w:rsidR="000E557D" w:rsidRPr="002D58B0" w:rsidRDefault="000E557D" w:rsidP="000E557D">
            <w:pPr>
              <w:shd w:val="clear" w:color="auto" w:fill="FFFFFF"/>
              <w:spacing w:after="120"/>
              <w:rPr>
                <w:rFonts w:cs="Calibri"/>
              </w:rPr>
            </w:pPr>
            <w:r w:rsidRPr="002D58B0">
              <w:rPr>
                <w:rFonts w:cs="Calibri"/>
              </w:rPr>
              <w:t xml:space="preserve">Dip. di </w:t>
            </w:r>
            <w:proofErr w:type="gramStart"/>
            <w:r w:rsidRPr="002D58B0">
              <w:rPr>
                <w:rFonts w:cs="Calibri"/>
              </w:rPr>
              <w:t>Economia,  Università</w:t>
            </w:r>
            <w:proofErr w:type="gramEnd"/>
            <w:r w:rsidRPr="002D58B0">
              <w:rPr>
                <w:rFonts w:cs="Calibri"/>
              </w:rPr>
              <w:t xml:space="preserve"> di Messina</w:t>
            </w:r>
          </w:p>
        </w:tc>
      </w:tr>
      <w:tr w:rsidR="000E557D" w:rsidRPr="00747B86" w14:paraId="7BA48495" w14:textId="77777777" w:rsidTr="000E557D">
        <w:trPr>
          <w:trHeight w:val="1890"/>
        </w:trPr>
        <w:tc>
          <w:tcPr>
            <w:tcW w:w="29100" w:type="dxa"/>
            <w:gridSpan w:val="10"/>
            <w:hideMark/>
          </w:tcPr>
          <w:p w14:paraId="5A5B4CF7" w14:textId="77777777" w:rsidR="000E557D" w:rsidRPr="002D58B0" w:rsidRDefault="000E557D" w:rsidP="000E557D">
            <w:pPr>
              <w:shd w:val="clear" w:color="auto" w:fill="FFFFFF"/>
              <w:spacing w:after="120"/>
              <w:rPr>
                <w:rFonts w:cs="Calibri"/>
                <w:lang w:val="en-GB"/>
              </w:rPr>
            </w:pPr>
            <w:r w:rsidRPr="002D58B0">
              <w:rPr>
                <w:rFonts w:cs="Calibri"/>
                <w:lang w:val="en-GB"/>
              </w:rPr>
              <w:t xml:space="preserve">Breve </w:t>
            </w:r>
            <w:proofErr w:type="spellStart"/>
            <w:r w:rsidRPr="002D58B0">
              <w:rPr>
                <w:rFonts w:cs="Calibri"/>
                <w:lang w:val="en-GB"/>
              </w:rPr>
              <w:t>descrizione</w:t>
            </w:r>
            <w:proofErr w:type="spellEnd"/>
            <w:r w:rsidRPr="002D58B0">
              <w:rPr>
                <w:rFonts w:cs="Calibri"/>
                <w:lang w:val="en-GB"/>
              </w:rPr>
              <w:t>. The course aims to provide basic knowledge on the environmental implications of agri-food production and on the need to increasingly move to more sustainable production systems on a large scale, increasing the transition process towards more ecological production systems. From this perspective, organic production can contribute to the integration of environmental protection requirements and sustainable agricultural production. The course is structured according to the following main points: agricultural production and environmental impact; organic production and relevant European Community legislation; organic product certification.</w:t>
            </w:r>
          </w:p>
        </w:tc>
      </w:tr>
      <w:tr w:rsidR="000E557D" w:rsidRPr="002D58B0" w14:paraId="0EA43F84" w14:textId="77777777" w:rsidTr="000E557D">
        <w:trPr>
          <w:trHeight w:val="3760"/>
        </w:trPr>
        <w:tc>
          <w:tcPr>
            <w:tcW w:w="580" w:type="dxa"/>
            <w:noWrap/>
            <w:hideMark/>
          </w:tcPr>
          <w:p w14:paraId="717F34B3" w14:textId="77777777" w:rsidR="000E557D" w:rsidRPr="002D58B0" w:rsidRDefault="000E557D" w:rsidP="000E557D">
            <w:pPr>
              <w:shd w:val="clear" w:color="auto" w:fill="FFFFFF"/>
              <w:spacing w:after="120"/>
              <w:rPr>
                <w:rFonts w:cs="Calibri"/>
              </w:rPr>
            </w:pPr>
            <w:r w:rsidRPr="002D58B0">
              <w:rPr>
                <w:rFonts w:cs="Calibri"/>
              </w:rPr>
              <w:t>6</w:t>
            </w:r>
          </w:p>
        </w:tc>
        <w:tc>
          <w:tcPr>
            <w:tcW w:w="5280" w:type="dxa"/>
            <w:hideMark/>
          </w:tcPr>
          <w:p w14:paraId="38159883" w14:textId="77777777" w:rsidR="000E557D" w:rsidRPr="002D58B0" w:rsidRDefault="000E557D" w:rsidP="000E557D">
            <w:pPr>
              <w:shd w:val="clear" w:color="auto" w:fill="FFFFFF"/>
              <w:spacing w:after="120"/>
              <w:rPr>
                <w:rFonts w:cs="Calibri"/>
              </w:rPr>
            </w:pPr>
            <w:r w:rsidRPr="002D58B0">
              <w:rPr>
                <w:rFonts w:cs="Calibri"/>
              </w:rPr>
              <w:t> </w:t>
            </w:r>
          </w:p>
        </w:tc>
        <w:tc>
          <w:tcPr>
            <w:tcW w:w="1380" w:type="dxa"/>
            <w:hideMark/>
          </w:tcPr>
          <w:p w14:paraId="2F889935" w14:textId="77777777" w:rsidR="000E557D" w:rsidRPr="002D58B0" w:rsidRDefault="000E557D" w:rsidP="000E557D">
            <w:pPr>
              <w:shd w:val="clear" w:color="auto" w:fill="FFFFFF"/>
              <w:spacing w:after="120"/>
              <w:rPr>
                <w:rFonts w:cs="Calibri"/>
              </w:rPr>
            </w:pPr>
            <w:r w:rsidRPr="002D58B0">
              <w:rPr>
                <w:rFonts w:cs="Calibri"/>
              </w:rPr>
              <w:t>10</w:t>
            </w:r>
          </w:p>
        </w:tc>
        <w:tc>
          <w:tcPr>
            <w:tcW w:w="2280" w:type="dxa"/>
            <w:hideMark/>
          </w:tcPr>
          <w:p w14:paraId="266A41E6" w14:textId="77777777" w:rsidR="000E557D" w:rsidRPr="002D58B0" w:rsidRDefault="000E557D" w:rsidP="000E557D">
            <w:pPr>
              <w:shd w:val="clear" w:color="auto" w:fill="FFFFFF"/>
              <w:spacing w:after="120"/>
              <w:rPr>
                <w:rFonts w:cs="Calibri"/>
              </w:rPr>
            </w:pPr>
            <w:r w:rsidRPr="002D58B0">
              <w:rPr>
                <w:rFonts w:cs="Calibri"/>
              </w:rPr>
              <w:t>2</w:t>
            </w:r>
          </w:p>
        </w:tc>
        <w:tc>
          <w:tcPr>
            <w:tcW w:w="2540" w:type="dxa"/>
            <w:noWrap/>
            <w:hideMark/>
          </w:tcPr>
          <w:p w14:paraId="556EDE82" w14:textId="77777777" w:rsidR="000E557D" w:rsidRPr="002D58B0" w:rsidRDefault="000E557D" w:rsidP="000E557D">
            <w:pPr>
              <w:shd w:val="clear" w:color="auto" w:fill="FFFFFF"/>
              <w:spacing w:after="120"/>
              <w:rPr>
                <w:rFonts w:cs="Calibri"/>
              </w:rPr>
            </w:pPr>
            <w:r w:rsidRPr="002D58B0">
              <w:rPr>
                <w:rFonts w:cs="Calibri"/>
              </w:rPr>
              <w:t> </w:t>
            </w:r>
          </w:p>
        </w:tc>
        <w:tc>
          <w:tcPr>
            <w:tcW w:w="1760" w:type="dxa"/>
            <w:hideMark/>
          </w:tcPr>
          <w:p w14:paraId="195B05C8" w14:textId="77777777" w:rsidR="000E557D" w:rsidRPr="002D58B0" w:rsidRDefault="000E557D" w:rsidP="000E557D">
            <w:pPr>
              <w:shd w:val="clear" w:color="auto" w:fill="FFFFFF"/>
              <w:spacing w:after="120"/>
              <w:rPr>
                <w:rFonts w:cs="Calibri"/>
              </w:rPr>
            </w:pPr>
            <w:r w:rsidRPr="002D58B0">
              <w:rPr>
                <w:rFonts w:cs="Calibri"/>
              </w:rPr>
              <w:t>mag-26</w:t>
            </w:r>
          </w:p>
        </w:tc>
        <w:tc>
          <w:tcPr>
            <w:tcW w:w="1640" w:type="dxa"/>
            <w:hideMark/>
          </w:tcPr>
          <w:p w14:paraId="53F99A5A"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noWrap/>
            <w:hideMark/>
          </w:tcPr>
          <w:p w14:paraId="29A36097" w14:textId="77777777" w:rsidR="000E557D" w:rsidRPr="002D58B0" w:rsidRDefault="000E557D" w:rsidP="000E557D">
            <w:pPr>
              <w:shd w:val="clear" w:color="auto" w:fill="FFFFFF"/>
              <w:spacing w:after="120"/>
              <w:rPr>
                <w:rFonts w:cs="Calibri"/>
              </w:rPr>
            </w:pPr>
            <w:r w:rsidRPr="002D58B0">
              <w:rPr>
                <w:rFonts w:cs="Calibri"/>
              </w:rPr>
              <w:t> </w:t>
            </w:r>
          </w:p>
        </w:tc>
        <w:tc>
          <w:tcPr>
            <w:tcW w:w="4020" w:type="dxa"/>
            <w:hideMark/>
          </w:tcPr>
          <w:p w14:paraId="7BBD37ED" w14:textId="77777777" w:rsidR="000E557D" w:rsidRPr="002D58B0" w:rsidRDefault="000E557D" w:rsidP="000E557D">
            <w:pPr>
              <w:shd w:val="clear" w:color="auto" w:fill="FFFFFF"/>
              <w:spacing w:after="120"/>
              <w:rPr>
                <w:rFonts w:cs="Calibri"/>
              </w:rPr>
            </w:pPr>
            <w:r w:rsidRPr="002D58B0">
              <w:rPr>
                <w:rFonts w:cs="Calibri"/>
              </w:rPr>
              <w:t>Prof.ssa Giuseppina D’</w:t>
            </w:r>
            <w:proofErr w:type="spellStart"/>
            <w:r w:rsidRPr="002D58B0">
              <w:rPr>
                <w:rFonts w:cs="Calibri"/>
              </w:rPr>
              <w:t>Addelfio</w:t>
            </w:r>
            <w:proofErr w:type="spellEnd"/>
            <w:r w:rsidRPr="002D58B0">
              <w:rPr>
                <w:rFonts w:cs="Calibri"/>
              </w:rPr>
              <w:t xml:space="preserve"> (M-PED/01), Dip. Scienze Psicologiche, Pedagogiche, dell’Esercizio Fisico e della Formazione, Università di Palermo</w:t>
            </w:r>
          </w:p>
        </w:tc>
        <w:tc>
          <w:tcPr>
            <w:tcW w:w="2940" w:type="dxa"/>
            <w:hideMark/>
          </w:tcPr>
          <w:p w14:paraId="25176C58" w14:textId="77777777" w:rsidR="000E557D" w:rsidRPr="002D58B0" w:rsidRDefault="000E557D" w:rsidP="000E557D">
            <w:pPr>
              <w:shd w:val="clear" w:color="auto" w:fill="FFFFFF"/>
              <w:spacing w:after="120"/>
              <w:rPr>
                <w:rFonts w:cs="Calibri"/>
              </w:rPr>
            </w:pPr>
            <w:r w:rsidRPr="002D58B0">
              <w:rPr>
                <w:rFonts w:cs="Calibri"/>
              </w:rPr>
              <w:t>Dip. Scienze Psicologiche, Pedagogiche, dell’Esercizio Fisico e della Formazione, Università di Palermo</w:t>
            </w:r>
          </w:p>
        </w:tc>
      </w:tr>
      <w:tr w:rsidR="000E557D" w:rsidRPr="002D58B0" w14:paraId="1544A89F" w14:textId="77777777" w:rsidTr="000E557D">
        <w:trPr>
          <w:trHeight w:val="470"/>
        </w:trPr>
        <w:tc>
          <w:tcPr>
            <w:tcW w:w="580" w:type="dxa"/>
            <w:noWrap/>
            <w:hideMark/>
          </w:tcPr>
          <w:p w14:paraId="4E2572BC" w14:textId="77777777" w:rsidR="000E557D" w:rsidRPr="002D58B0" w:rsidRDefault="000E557D" w:rsidP="000E557D">
            <w:pPr>
              <w:shd w:val="clear" w:color="auto" w:fill="FFFFFF"/>
              <w:spacing w:after="120"/>
              <w:rPr>
                <w:rFonts w:cs="Calibri"/>
              </w:rPr>
            </w:pPr>
            <w:r w:rsidRPr="002D58B0">
              <w:rPr>
                <w:rFonts w:cs="Calibri"/>
              </w:rPr>
              <w:lastRenderedPageBreak/>
              <w:t> </w:t>
            </w:r>
          </w:p>
        </w:tc>
        <w:tc>
          <w:tcPr>
            <w:tcW w:w="5280" w:type="dxa"/>
            <w:hideMark/>
          </w:tcPr>
          <w:p w14:paraId="0DAF7097" w14:textId="77777777" w:rsidR="000E557D" w:rsidRPr="002D58B0" w:rsidRDefault="000E557D" w:rsidP="000E557D">
            <w:pPr>
              <w:shd w:val="clear" w:color="auto" w:fill="FFFFFF"/>
              <w:spacing w:after="120"/>
              <w:rPr>
                <w:rFonts w:cs="Calibri"/>
              </w:rPr>
            </w:pPr>
            <w:r w:rsidRPr="002D58B0">
              <w:rPr>
                <w:rFonts w:cs="Calibri"/>
              </w:rPr>
              <w:t> </w:t>
            </w:r>
          </w:p>
        </w:tc>
        <w:tc>
          <w:tcPr>
            <w:tcW w:w="1380" w:type="dxa"/>
            <w:hideMark/>
          </w:tcPr>
          <w:p w14:paraId="1E7EFF9D" w14:textId="77777777" w:rsidR="000E557D" w:rsidRPr="002D58B0" w:rsidRDefault="000E557D" w:rsidP="000E557D">
            <w:pPr>
              <w:shd w:val="clear" w:color="auto" w:fill="FFFFFF"/>
              <w:spacing w:after="120"/>
              <w:rPr>
                <w:rFonts w:cs="Calibri"/>
              </w:rPr>
            </w:pPr>
            <w:r w:rsidRPr="002D58B0">
              <w:rPr>
                <w:rFonts w:cs="Calibri"/>
              </w:rPr>
              <w:t> </w:t>
            </w:r>
          </w:p>
        </w:tc>
        <w:tc>
          <w:tcPr>
            <w:tcW w:w="2280" w:type="dxa"/>
            <w:hideMark/>
          </w:tcPr>
          <w:p w14:paraId="0920EAB4" w14:textId="77777777" w:rsidR="000E557D" w:rsidRPr="002D58B0" w:rsidRDefault="000E557D" w:rsidP="000E557D">
            <w:pPr>
              <w:shd w:val="clear" w:color="auto" w:fill="FFFFFF"/>
              <w:spacing w:after="120"/>
              <w:rPr>
                <w:rFonts w:cs="Calibri"/>
              </w:rPr>
            </w:pPr>
            <w:r w:rsidRPr="002D58B0">
              <w:rPr>
                <w:rFonts w:cs="Calibri"/>
              </w:rPr>
              <w:t> </w:t>
            </w:r>
          </w:p>
        </w:tc>
        <w:tc>
          <w:tcPr>
            <w:tcW w:w="2540" w:type="dxa"/>
            <w:noWrap/>
            <w:hideMark/>
          </w:tcPr>
          <w:p w14:paraId="4ED8A580" w14:textId="77777777" w:rsidR="000E557D" w:rsidRPr="002D58B0" w:rsidRDefault="000E557D" w:rsidP="000E557D">
            <w:pPr>
              <w:shd w:val="clear" w:color="auto" w:fill="FFFFFF"/>
              <w:spacing w:after="120"/>
              <w:rPr>
                <w:rFonts w:cs="Calibri"/>
              </w:rPr>
            </w:pPr>
            <w:r w:rsidRPr="002D58B0">
              <w:rPr>
                <w:rFonts w:cs="Calibri"/>
              </w:rPr>
              <w:t> </w:t>
            </w:r>
          </w:p>
        </w:tc>
        <w:tc>
          <w:tcPr>
            <w:tcW w:w="1760" w:type="dxa"/>
            <w:hideMark/>
          </w:tcPr>
          <w:p w14:paraId="6851FC7C" w14:textId="77777777" w:rsidR="000E557D" w:rsidRPr="002D58B0" w:rsidRDefault="000E557D" w:rsidP="000E557D">
            <w:pPr>
              <w:shd w:val="clear" w:color="auto" w:fill="FFFFFF"/>
              <w:spacing w:after="120"/>
              <w:rPr>
                <w:rFonts w:cs="Calibri"/>
              </w:rPr>
            </w:pPr>
            <w:r w:rsidRPr="002D58B0">
              <w:rPr>
                <w:rFonts w:cs="Calibri"/>
              </w:rPr>
              <w:t> </w:t>
            </w:r>
          </w:p>
        </w:tc>
        <w:tc>
          <w:tcPr>
            <w:tcW w:w="1640" w:type="dxa"/>
            <w:hideMark/>
          </w:tcPr>
          <w:p w14:paraId="2C500AD9" w14:textId="77777777" w:rsidR="000E557D" w:rsidRPr="002D58B0" w:rsidRDefault="000E557D" w:rsidP="000E557D">
            <w:pPr>
              <w:shd w:val="clear" w:color="auto" w:fill="FFFFFF"/>
              <w:spacing w:after="120"/>
              <w:rPr>
                <w:rFonts w:cs="Calibri"/>
              </w:rPr>
            </w:pPr>
            <w:r w:rsidRPr="002D58B0">
              <w:rPr>
                <w:rFonts w:cs="Calibri"/>
              </w:rPr>
              <w:t> </w:t>
            </w:r>
          </w:p>
        </w:tc>
        <w:tc>
          <w:tcPr>
            <w:tcW w:w="6680" w:type="dxa"/>
            <w:hideMark/>
          </w:tcPr>
          <w:p w14:paraId="15BCEC98" w14:textId="77777777" w:rsidR="000E557D" w:rsidRPr="002D58B0" w:rsidRDefault="000E557D" w:rsidP="000E557D">
            <w:pPr>
              <w:shd w:val="clear" w:color="auto" w:fill="FFFFFF"/>
              <w:spacing w:after="120"/>
              <w:rPr>
                <w:rFonts w:cs="Calibri"/>
              </w:rPr>
            </w:pPr>
            <w:r w:rsidRPr="002D58B0">
              <w:rPr>
                <w:rFonts w:cs="Calibri"/>
              </w:rPr>
              <w:t> </w:t>
            </w:r>
          </w:p>
        </w:tc>
        <w:tc>
          <w:tcPr>
            <w:tcW w:w="4020" w:type="dxa"/>
            <w:hideMark/>
          </w:tcPr>
          <w:p w14:paraId="0BCD3AD2" w14:textId="77777777" w:rsidR="000E557D" w:rsidRPr="002D58B0" w:rsidRDefault="000E557D" w:rsidP="000E557D">
            <w:pPr>
              <w:shd w:val="clear" w:color="auto" w:fill="FFFFFF"/>
              <w:spacing w:after="120"/>
              <w:rPr>
                <w:rFonts w:cs="Calibri"/>
              </w:rPr>
            </w:pPr>
            <w:r w:rsidRPr="002D58B0">
              <w:rPr>
                <w:rFonts w:cs="Calibri"/>
              </w:rPr>
              <w:t> </w:t>
            </w:r>
          </w:p>
        </w:tc>
        <w:tc>
          <w:tcPr>
            <w:tcW w:w="2940" w:type="dxa"/>
            <w:hideMark/>
          </w:tcPr>
          <w:p w14:paraId="5B563539" w14:textId="77777777" w:rsidR="000E557D" w:rsidRPr="002D58B0" w:rsidRDefault="000E557D" w:rsidP="000E557D">
            <w:pPr>
              <w:shd w:val="clear" w:color="auto" w:fill="FFFFFF"/>
              <w:spacing w:after="120"/>
              <w:rPr>
                <w:rFonts w:cs="Calibri"/>
              </w:rPr>
            </w:pPr>
            <w:r w:rsidRPr="002D58B0">
              <w:rPr>
                <w:rFonts w:cs="Calibri"/>
              </w:rPr>
              <w:t> </w:t>
            </w:r>
          </w:p>
        </w:tc>
      </w:tr>
      <w:tr w:rsidR="000E557D" w:rsidRPr="002D58B0" w14:paraId="232BAA99" w14:textId="77777777" w:rsidTr="000E557D">
        <w:trPr>
          <w:trHeight w:val="3290"/>
        </w:trPr>
        <w:tc>
          <w:tcPr>
            <w:tcW w:w="580" w:type="dxa"/>
            <w:noWrap/>
            <w:hideMark/>
          </w:tcPr>
          <w:p w14:paraId="0605983C" w14:textId="77777777" w:rsidR="000E557D" w:rsidRPr="002D58B0" w:rsidRDefault="000E557D" w:rsidP="000E557D">
            <w:pPr>
              <w:shd w:val="clear" w:color="auto" w:fill="FFFFFF"/>
              <w:spacing w:after="120"/>
              <w:rPr>
                <w:rFonts w:cs="Calibri"/>
              </w:rPr>
            </w:pPr>
            <w:r w:rsidRPr="002D58B0">
              <w:rPr>
                <w:rFonts w:cs="Calibri"/>
              </w:rPr>
              <w:t>7</w:t>
            </w:r>
          </w:p>
        </w:tc>
        <w:tc>
          <w:tcPr>
            <w:tcW w:w="5280" w:type="dxa"/>
            <w:hideMark/>
          </w:tcPr>
          <w:p w14:paraId="1FADD951" w14:textId="77777777" w:rsidR="000E557D" w:rsidRPr="002D58B0" w:rsidRDefault="000E557D" w:rsidP="000E557D">
            <w:pPr>
              <w:shd w:val="clear" w:color="auto" w:fill="FFFFFF"/>
              <w:spacing w:after="120"/>
              <w:rPr>
                <w:rFonts w:cs="Calibri"/>
                <w:lang w:val="en-GB"/>
              </w:rPr>
            </w:pPr>
            <w:r w:rsidRPr="002D58B0">
              <w:rPr>
                <w:rFonts w:cs="Calibri"/>
                <w:lang w:val="en-GB"/>
              </w:rPr>
              <w:t>Integrating organizational and ecosystem approaches for place-based holistic and sustainable public service value creation</w:t>
            </w:r>
          </w:p>
        </w:tc>
        <w:tc>
          <w:tcPr>
            <w:tcW w:w="1380" w:type="dxa"/>
            <w:hideMark/>
          </w:tcPr>
          <w:p w14:paraId="6B76AFA5" w14:textId="77777777" w:rsidR="000E557D" w:rsidRPr="002D58B0" w:rsidRDefault="000E557D" w:rsidP="000E557D">
            <w:pPr>
              <w:shd w:val="clear" w:color="auto" w:fill="FFFFFF"/>
              <w:spacing w:after="120"/>
              <w:rPr>
                <w:rFonts w:cs="Calibri"/>
              </w:rPr>
            </w:pPr>
            <w:r w:rsidRPr="002D58B0">
              <w:rPr>
                <w:rFonts w:cs="Calibri"/>
              </w:rPr>
              <w:t>15</w:t>
            </w:r>
          </w:p>
        </w:tc>
        <w:tc>
          <w:tcPr>
            <w:tcW w:w="2280" w:type="dxa"/>
            <w:hideMark/>
          </w:tcPr>
          <w:p w14:paraId="433D4820" w14:textId="77777777" w:rsidR="000E557D" w:rsidRPr="002D58B0" w:rsidRDefault="000E557D" w:rsidP="000E557D">
            <w:pPr>
              <w:shd w:val="clear" w:color="auto" w:fill="FFFFFF"/>
              <w:spacing w:after="120"/>
              <w:rPr>
                <w:rFonts w:cs="Calibri"/>
              </w:rPr>
            </w:pPr>
            <w:r w:rsidRPr="002D58B0">
              <w:rPr>
                <w:rFonts w:cs="Calibri"/>
              </w:rPr>
              <w:t>3</w:t>
            </w:r>
          </w:p>
        </w:tc>
        <w:tc>
          <w:tcPr>
            <w:tcW w:w="2540" w:type="dxa"/>
            <w:noWrap/>
            <w:hideMark/>
          </w:tcPr>
          <w:p w14:paraId="2104BEC8" w14:textId="77777777" w:rsidR="000E557D" w:rsidRPr="002D58B0" w:rsidRDefault="000E557D" w:rsidP="000E557D">
            <w:pPr>
              <w:shd w:val="clear" w:color="auto" w:fill="FFFFFF"/>
              <w:spacing w:after="120"/>
              <w:rPr>
                <w:rFonts w:cs="Calibri"/>
              </w:rPr>
            </w:pPr>
            <w:r w:rsidRPr="002D58B0">
              <w:rPr>
                <w:rFonts w:cs="Calibri"/>
              </w:rPr>
              <w:t>primo anno</w:t>
            </w:r>
          </w:p>
        </w:tc>
        <w:tc>
          <w:tcPr>
            <w:tcW w:w="1760" w:type="dxa"/>
            <w:hideMark/>
          </w:tcPr>
          <w:p w14:paraId="4E17B940" w14:textId="77777777" w:rsidR="000E557D" w:rsidRPr="002D58B0" w:rsidRDefault="000E557D" w:rsidP="000E557D">
            <w:pPr>
              <w:shd w:val="clear" w:color="auto" w:fill="FFFFFF"/>
              <w:spacing w:after="120"/>
              <w:rPr>
                <w:rFonts w:cs="Calibri"/>
              </w:rPr>
            </w:pPr>
            <w:r w:rsidRPr="002D58B0">
              <w:rPr>
                <w:rFonts w:cs="Calibri"/>
              </w:rPr>
              <w:t>giu-26</w:t>
            </w:r>
          </w:p>
        </w:tc>
        <w:tc>
          <w:tcPr>
            <w:tcW w:w="1640" w:type="dxa"/>
            <w:hideMark/>
          </w:tcPr>
          <w:p w14:paraId="7F2AA7BC"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2271CF2F" w14:textId="77777777" w:rsidR="000E557D" w:rsidRPr="002D58B0" w:rsidRDefault="000E557D" w:rsidP="000E557D">
            <w:pPr>
              <w:shd w:val="clear" w:color="auto" w:fill="FFFFFF"/>
              <w:spacing w:after="120"/>
              <w:rPr>
                <w:rFonts w:cs="Calibri"/>
              </w:rPr>
            </w:pPr>
            <w:r w:rsidRPr="002D58B0">
              <w:rPr>
                <w:rFonts w:cs="Calibri"/>
              </w:rPr>
              <w:t>Il corso è erogato in inglese. La verifica dell'apprendimento raggiunto al termine del corso potrà essere effettuata mediante un test somministrato alla fine del corso o mediante la redazione di una relazione scritta sui temi del modulo o un colloquio sugli argomenti erogati.</w:t>
            </w:r>
          </w:p>
        </w:tc>
        <w:tc>
          <w:tcPr>
            <w:tcW w:w="4020" w:type="dxa"/>
            <w:hideMark/>
          </w:tcPr>
          <w:p w14:paraId="03260988" w14:textId="77777777" w:rsidR="000E557D" w:rsidRPr="002D58B0" w:rsidRDefault="000E557D" w:rsidP="000E557D">
            <w:pPr>
              <w:shd w:val="clear" w:color="auto" w:fill="FFFFFF"/>
              <w:spacing w:after="120"/>
              <w:rPr>
                <w:rFonts w:cs="Calibri"/>
              </w:rPr>
            </w:pPr>
            <w:r w:rsidRPr="002D58B0">
              <w:rPr>
                <w:rFonts w:cs="Calibri"/>
              </w:rPr>
              <w:t>Prof. Carmine Bianchi, Dip. Scienze Politiche e delle Relazioni Internazionali, Università di Palermo</w:t>
            </w:r>
          </w:p>
        </w:tc>
        <w:tc>
          <w:tcPr>
            <w:tcW w:w="2940" w:type="dxa"/>
            <w:hideMark/>
          </w:tcPr>
          <w:p w14:paraId="65485682" w14:textId="77777777" w:rsidR="000E557D" w:rsidRPr="002D58B0" w:rsidRDefault="000E557D" w:rsidP="000E557D">
            <w:pPr>
              <w:shd w:val="clear" w:color="auto" w:fill="FFFFFF"/>
              <w:spacing w:after="120"/>
              <w:rPr>
                <w:rFonts w:cs="Calibri"/>
              </w:rPr>
            </w:pPr>
            <w:r w:rsidRPr="002D58B0">
              <w:rPr>
                <w:rFonts w:cs="Calibri"/>
              </w:rPr>
              <w:t>Dip. Scienze Politiche e delle Relazioni Internazionali</w:t>
            </w:r>
          </w:p>
        </w:tc>
      </w:tr>
      <w:tr w:rsidR="000E557D" w:rsidRPr="00747B86" w14:paraId="731DEC2F" w14:textId="77777777" w:rsidTr="000E557D">
        <w:trPr>
          <w:trHeight w:val="3390"/>
        </w:trPr>
        <w:tc>
          <w:tcPr>
            <w:tcW w:w="29100" w:type="dxa"/>
            <w:gridSpan w:val="10"/>
            <w:hideMark/>
          </w:tcPr>
          <w:p w14:paraId="5D3C733E" w14:textId="7302C896" w:rsidR="000E557D" w:rsidRPr="002D58B0" w:rsidRDefault="000E557D" w:rsidP="000E557D">
            <w:pPr>
              <w:shd w:val="clear" w:color="auto" w:fill="FFFFFF"/>
              <w:spacing w:after="120"/>
              <w:rPr>
                <w:rFonts w:cs="Calibri"/>
                <w:lang w:val="en-GB"/>
              </w:rPr>
            </w:pPr>
            <w:r w:rsidRPr="002D58B0">
              <w:rPr>
                <w:rFonts w:cs="Calibri"/>
                <w:lang w:val="en-GB"/>
              </w:rPr>
              <w:t xml:space="preserve">Breve </w:t>
            </w:r>
            <w:proofErr w:type="spellStart"/>
            <w:r w:rsidRPr="002D58B0">
              <w:rPr>
                <w:rFonts w:cs="Calibri"/>
                <w:lang w:val="en-GB"/>
              </w:rPr>
              <w:t>descrizione</w:t>
            </w:r>
            <w:proofErr w:type="spellEnd"/>
            <w:r w:rsidRPr="002D58B0">
              <w:rPr>
                <w:rFonts w:cs="Calibri"/>
                <w:lang w:val="en-GB"/>
              </w:rPr>
              <w:t xml:space="preserve">. The course focuses on integrating organizational and service ecosystems to foster sustainable public value creation, with a particular emphasis on a modular and place-based dimension. In response to the growing complexity of challenges linked to wicked socio-ecological problems, it becomes essential to go beyond sectoral and purely institutional logics, promoting instead a holistic and collaborative approach to public value creation. The objective is to equip PhD students with the ability to adopt integrated strategies that combine the “inside-out” perspective, focused on the organization, with the “outside-in” perspective, </w:t>
            </w:r>
            <w:r w:rsidR="002D58B0" w:rsidRPr="002D58B0">
              <w:rPr>
                <w:rFonts w:cs="Calibri"/>
                <w:lang w:val="en-GB"/>
              </w:rPr>
              <w:t>cantered</w:t>
            </w:r>
            <w:r w:rsidRPr="002D58B0">
              <w:rPr>
                <w:rFonts w:cs="Calibri"/>
                <w:lang w:val="en-GB"/>
              </w:rPr>
              <w:t xml:space="preserve"> on the broader context, community needs, quality of life, and place attractiveness. In doing so, organizations can contribute both to their holistic sustainability and to the well-being of the place in which they operate. The course is organized into three modules: (1) foundations of public service logic and systemic value creation; (2) service ecosystems and collaborative platforms for place-based policy; (3) modular strategies and polycentric governance for linking theme-focused ecosystems. The method integrates System Dynamics with Performance Governance—known as Dynamic Performance Governance—to support sustainable outcomes.</w:t>
            </w:r>
          </w:p>
        </w:tc>
      </w:tr>
      <w:tr w:rsidR="000E557D" w:rsidRPr="002D58B0" w14:paraId="50FC0A1D" w14:textId="77777777" w:rsidTr="000E557D">
        <w:trPr>
          <w:trHeight w:val="3290"/>
        </w:trPr>
        <w:tc>
          <w:tcPr>
            <w:tcW w:w="580" w:type="dxa"/>
            <w:noWrap/>
            <w:hideMark/>
          </w:tcPr>
          <w:p w14:paraId="5DFABF08" w14:textId="77777777" w:rsidR="000E557D" w:rsidRPr="002D58B0" w:rsidRDefault="000E557D" w:rsidP="000E557D">
            <w:pPr>
              <w:shd w:val="clear" w:color="auto" w:fill="FFFFFF"/>
              <w:spacing w:after="120"/>
              <w:rPr>
                <w:rFonts w:cs="Calibri"/>
              </w:rPr>
            </w:pPr>
            <w:r w:rsidRPr="002D58B0">
              <w:rPr>
                <w:rFonts w:cs="Calibri"/>
              </w:rPr>
              <w:lastRenderedPageBreak/>
              <w:t>8</w:t>
            </w:r>
          </w:p>
        </w:tc>
        <w:tc>
          <w:tcPr>
            <w:tcW w:w="5280" w:type="dxa"/>
            <w:hideMark/>
          </w:tcPr>
          <w:p w14:paraId="777F8EC3" w14:textId="77777777" w:rsidR="000E557D" w:rsidRPr="002D58B0" w:rsidRDefault="000E557D" w:rsidP="000E557D">
            <w:pPr>
              <w:shd w:val="clear" w:color="auto" w:fill="FFFFFF"/>
              <w:spacing w:after="120"/>
              <w:rPr>
                <w:rFonts w:cs="Calibri"/>
                <w:lang w:val="en-GB"/>
              </w:rPr>
            </w:pPr>
            <w:r w:rsidRPr="002D58B0">
              <w:rPr>
                <w:rFonts w:cs="Calibri"/>
                <w:lang w:val="en-GB"/>
              </w:rPr>
              <w:t>The legal framework of sustainable development between international and domestic law</w:t>
            </w:r>
          </w:p>
        </w:tc>
        <w:tc>
          <w:tcPr>
            <w:tcW w:w="1380" w:type="dxa"/>
            <w:hideMark/>
          </w:tcPr>
          <w:p w14:paraId="7394CE84" w14:textId="77777777" w:rsidR="000E557D" w:rsidRPr="002D58B0" w:rsidRDefault="000E557D" w:rsidP="000E557D">
            <w:pPr>
              <w:shd w:val="clear" w:color="auto" w:fill="FFFFFF"/>
              <w:spacing w:after="120"/>
              <w:rPr>
                <w:rFonts w:cs="Calibri"/>
              </w:rPr>
            </w:pPr>
            <w:r w:rsidRPr="002D58B0">
              <w:rPr>
                <w:rFonts w:cs="Calibri"/>
              </w:rPr>
              <w:t>15</w:t>
            </w:r>
          </w:p>
        </w:tc>
        <w:tc>
          <w:tcPr>
            <w:tcW w:w="2280" w:type="dxa"/>
            <w:hideMark/>
          </w:tcPr>
          <w:p w14:paraId="2EC38B93" w14:textId="77777777" w:rsidR="000E557D" w:rsidRPr="002D58B0" w:rsidRDefault="000E557D" w:rsidP="000E557D">
            <w:pPr>
              <w:shd w:val="clear" w:color="auto" w:fill="FFFFFF"/>
              <w:spacing w:after="120"/>
              <w:rPr>
                <w:rFonts w:cs="Calibri"/>
              </w:rPr>
            </w:pPr>
            <w:r w:rsidRPr="002D58B0">
              <w:rPr>
                <w:rFonts w:cs="Calibri"/>
              </w:rPr>
              <w:t>3</w:t>
            </w:r>
          </w:p>
        </w:tc>
        <w:tc>
          <w:tcPr>
            <w:tcW w:w="2540" w:type="dxa"/>
            <w:noWrap/>
            <w:hideMark/>
          </w:tcPr>
          <w:p w14:paraId="1ECE565A" w14:textId="77777777" w:rsidR="000E557D" w:rsidRPr="002D58B0" w:rsidRDefault="000E557D" w:rsidP="000E557D">
            <w:pPr>
              <w:shd w:val="clear" w:color="auto" w:fill="FFFFFF"/>
              <w:spacing w:after="120"/>
              <w:rPr>
                <w:rFonts w:cs="Calibri"/>
              </w:rPr>
            </w:pPr>
            <w:r w:rsidRPr="002D58B0">
              <w:rPr>
                <w:rFonts w:cs="Calibri"/>
              </w:rPr>
              <w:t>secondo anno</w:t>
            </w:r>
          </w:p>
        </w:tc>
        <w:tc>
          <w:tcPr>
            <w:tcW w:w="1760" w:type="dxa"/>
            <w:hideMark/>
          </w:tcPr>
          <w:p w14:paraId="6CD38D44" w14:textId="77777777" w:rsidR="000E557D" w:rsidRPr="002D58B0" w:rsidRDefault="000E557D" w:rsidP="000E557D">
            <w:pPr>
              <w:shd w:val="clear" w:color="auto" w:fill="FFFFFF"/>
              <w:spacing w:after="120"/>
              <w:rPr>
                <w:rFonts w:cs="Calibri"/>
              </w:rPr>
            </w:pPr>
            <w:r w:rsidRPr="002D58B0">
              <w:rPr>
                <w:rFonts w:cs="Calibri"/>
              </w:rPr>
              <w:t>apr-27</w:t>
            </w:r>
          </w:p>
        </w:tc>
        <w:tc>
          <w:tcPr>
            <w:tcW w:w="1640" w:type="dxa"/>
            <w:hideMark/>
          </w:tcPr>
          <w:p w14:paraId="0ADF49FD"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3326321F" w14:textId="77777777" w:rsidR="000E557D" w:rsidRPr="002D58B0" w:rsidRDefault="000E557D" w:rsidP="000E557D">
            <w:pPr>
              <w:shd w:val="clear" w:color="auto" w:fill="FFFFFF"/>
              <w:spacing w:after="120"/>
              <w:rPr>
                <w:rFonts w:cs="Calibri"/>
              </w:rPr>
            </w:pPr>
            <w:r w:rsidRPr="002D58B0">
              <w:rPr>
                <w:rFonts w:cs="Calibri"/>
              </w:rPr>
              <w:t>Il corso è erogato in inglese. La verifica dell'apprendimento raggiunto al termine del corso potrà essere effettuata mediante un test somministrato alla fine del corso o mediante la redazione di una relazione scritta sui temi del modulo o un colloquio sugli argomenti erogati.</w:t>
            </w:r>
          </w:p>
        </w:tc>
        <w:tc>
          <w:tcPr>
            <w:tcW w:w="4020" w:type="dxa"/>
            <w:hideMark/>
          </w:tcPr>
          <w:p w14:paraId="5B5DA67A" w14:textId="77777777" w:rsidR="000E557D" w:rsidRPr="002D58B0" w:rsidRDefault="000E557D" w:rsidP="000E557D">
            <w:pPr>
              <w:shd w:val="clear" w:color="auto" w:fill="FFFFFF"/>
              <w:spacing w:after="120"/>
              <w:rPr>
                <w:rFonts w:cs="Calibri"/>
              </w:rPr>
            </w:pPr>
            <w:r w:rsidRPr="002D58B0">
              <w:rPr>
                <w:rFonts w:cs="Calibri"/>
              </w:rPr>
              <w:t>Prof. Nicola Gullo (IUS/10), Dip. Giurisprudenza, Università di Palermo</w:t>
            </w:r>
          </w:p>
        </w:tc>
        <w:tc>
          <w:tcPr>
            <w:tcW w:w="2940" w:type="dxa"/>
            <w:hideMark/>
          </w:tcPr>
          <w:p w14:paraId="32C880A5" w14:textId="77777777" w:rsidR="000E557D" w:rsidRPr="002D58B0" w:rsidRDefault="000E557D" w:rsidP="000E557D">
            <w:pPr>
              <w:shd w:val="clear" w:color="auto" w:fill="FFFFFF"/>
              <w:spacing w:after="120"/>
              <w:rPr>
                <w:rFonts w:cs="Calibri"/>
              </w:rPr>
            </w:pPr>
            <w:r w:rsidRPr="002D58B0">
              <w:rPr>
                <w:rFonts w:cs="Calibri"/>
              </w:rPr>
              <w:t>Dip. Giurisprudenza, Università di Palermo</w:t>
            </w:r>
          </w:p>
        </w:tc>
      </w:tr>
      <w:tr w:rsidR="000E557D" w:rsidRPr="00747B86" w14:paraId="1F176103" w14:textId="77777777" w:rsidTr="000E557D">
        <w:trPr>
          <w:trHeight w:val="3330"/>
        </w:trPr>
        <w:tc>
          <w:tcPr>
            <w:tcW w:w="29100" w:type="dxa"/>
            <w:gridSpan w:val="10"/>
            <w:hideMark/>
          </w:tcPr>
          <w:p w14:paraId="701CE202" w14:textId="4D2EE1B9" w:rsidR="000E557D" w:rsidRPr="002D58B0" w:rsidRDefault="000E557D" w:rsidP="000E557D">
            <w:pPr>
              <w:shd w:val="clear" w:color="auto" w:fill="FFFFFF"/>
              <w:spacing w:after="120"/>
              <w:rPr>
                <w:rFonts w:cs="Calibri"/>
                <w:lang w:val="en-GB"/>
              </w:rPr>
            </w:pPr>
            <w:r w:rsidRPr="002D58B0">
              <w:rPr>
                <w:rFonts w:cs="Calibri"/>
                <w:lang w:val="en-GB"/>
              </w:rPr>
              <w:t xml:space="preserve">Breve </w:t>
            </w:r>
            <w:proofErr w:type="spellStart"/>
            <w:r w:rsidRPr="002D58B0">
              <w:rPr>
                <w:rFonts w:cs="Calibri"/>
                <w:lang w:val="en-GB"/>
              </w:rPr>
              <w:t>descrizione</w:t>
            </w:r>
            <w:proofErr w:type="spellEnd"/>
            <w:r w:rsidRPr="002D58B0">
              <w:rPr>
                <w:rFonts w:cs="Calibri"/>
                <w:lang w:val="en-GB"/>
              </w:rPr>
              <w:t xml:space="preserve">. The course aims to present the origin of the principle of sustainable development in international law and show its implications for European and national public policies, with </w:t>
            </w:r>
            <w:r w:rsidR="002D58B0" w:rsidRPr="002D58B0">
              <w:rPr>
                <w:rFonts w:cs="Calibri"/>
                <w:lang w:val="en-GB"/>
              </w:rPr>
              <w:t>reference</w:t>
            </w:r>
            <w:r w:rsidRPr="002D58B0">
              <w:rPr>
                <w:rFonts w:cs="Calibri"/>
                <w:lang w:val="en-GB"/>
              </w:rPr>
              <w:t xml:space="preserve"> to public interventions that promote the ecological transition. The course will be divided into 3 modules of 5 hours each: a) the first module will be devoted to the reconstruction of the meaning of the principle of sustainable development, building on its recognition in the final declarations of major international conferences on the environment promoted by the United Nations; b) the second module will be aimed at studying the main international and European programmes - such as the UN 2030 Agenda and the EU Green Deal -, which promote the energy transition and the conversion of the production systems of the member states; c) the third module will focus on the main environmental assessment tools which enable economic activities to be oriented towards eco-friendly objectives. In defining the legal reference framework, particular attention will be given to examining the constitutional provisions that provide for environmental protection as one of the main tasks to be undertaken by the Republic.</w:t>
            </w:r>
          </w:p>
        </w:tc>
      </w:tr>
      <w:tr w:rsidR="000E557D" w:rsidRPr="002D58B0" w14:paraId="4C3D529C" w14:textId="77777777" w:rsidTr="000E557D">
        <w:trPr>
          <w:trHeight w:val="3290"/>
        </w:trPr>
        <w:tc>
          <w:tcPr>
            <w:tcW w:w="580" w:type="dxa"/>
            <w:noWrap/>
            <w:hideMark/>
          </w:tcPr>
          <w:p w14:paraId="5EF17459" w14:textId="77777777" w:rsidR="000E557D" w:rsidRPr="002D58B0" w:rsidRDefault="000E557D" w:rsidP="000E557D">
            <w:pPr>
              <w:shd w:val="clear" w:color="auto" w:fill="FFFFFF"/>
              <w:spacing w:after="120"/>
              <w:rPr>
                <w:rFonts w:cs="Calibri"/>
              </w:rPr>
            </w:pPr>
            <w:r w:rsidRPr="002D58B0">
              <w:rPr>
                <w:rFonts w:cs="Calibri"/>
              </w:rPr>
              <w:lastRenderedPageBreak/>
              <w:t>9</w:t>
            </w:r>
          </w:p>
        </w:tc>
        <w:tc>
          <w:tcPr>
            <w:tcW w:w="5280" w:type="dxa"/>
            <w:hideMark/>
          </w:tcPr>
          <w:p w14:paraId="70096660" w14:textId="77777777" w:rsidR="000E557D" w:rsidRPr="002D58B0" w:rsidRDefault="000E557D" w:rsidP="000E557D">
            <w:pPr>
              <w:shd w:val="clear" w:color="auto" w:fill="FFFFFF"/>
              <w:spacing w:after="120"/>
              <w:rPr>
                <w:rFonts w:cs="Calibri"/>
                <w:lang w:val="en-GB"/>
              </w:rPr>
            </w:pPr>
            <w:r w:rsidRPr="002D58B0">
              <w:rPr>
                <w:rFonts w:cs="Calibri"/>
                <w:lang w:val="en-GB"/>
              </w:rPr>
              <w:t>Space research and climate change</w:t>
            </w:r>
          </w:p>
        </w:tc>
        <w:tc>
          <w:tcPr>
            <w:tcW w:w="1380" w:type="dxa"/>
            <w:hideMark/>
          </w:tcPr>
          <w:p w14:paraId="33A96E3B" w14:textId="77777777" w:rsidR="000E557D" w:rsidRPr="002D58B0" w:rsidRDefault="000E557D" w:rsidP="000E557D">
            <w:pPr>
              <w:shd w:val="clear" w:color="auto" w:fill="FFFFFF"/>
              <w:spacing w:after="120"/>
              <w:rPr>
                <w:rFonts w:cs="Calibri"/>
              </w:rPr>
            </w:pPr>
            <w:r w:rsidRPr="002D58B0">
              <w:rPr>
                <w:rFonts w:cs="Calibri"/>
              </w:rPr>
              <w:t>10</w:t>
            </w:r>
          </w:p>
        </w:tc>
        <w:tc>
          <w:tcPr>
            <w:tcW w:w="2280" w:type="dxa"/>
            <w:hideMark/>
          </w:tcPr>
          <w:p w14:paraId="05F6A2EE" w14:textId="77777777" w:rsidR="000E557D" w:rsidRPr="002D58B0" w:rsidRDefault="000E557D" w:rsidP="000E557D">
            <w:pPr>
              <w:shd w:val="clear" w:color="auto" w:fill="FFFFFF"/>
              <w:spacing w:after="120"/>
              <w:rPr>
                <w:rFonts w:cs="Calibri"/>
              </w:rPr>
            </w:pPr>
            <w:r w:rsidRPr="002D58B0">
              <w:rPr>
                <w:rFonts w:cs="Calibri"/>
              </w:rPr>
              <w:t>2</w:t>
            </w:r>
          </w:p>
        </w:tc>
        <w:tc>
          <w:tcPr>
            <w:tcW w:w="2540" w:type="dxa"/>
            <w:noWrap/>
            <w:hideMark/>
          </w:tcPr>
          <w:p w14:paraId="61D5419A" w14:textId="77777777" w:rsidR="000E557D" w:rsidRPr="002D58B0" w:rsidRDefault="000E557D" w:rsidP="000E557D">
            <w:pPr>
              <w:shd w:val="clear" w:color="auto" w:fill="FFFFFF"/>
              <w:spacing w:after="120"/>
              <w:rPr>
                <w:rFonts w:cs="Calibri"/>
              </w:rPr>
            </w:pPr>
            <w:r w:rsidRPr="002D58B0">
              <w:rPr>
                <w:rFonts w:cs="Calibri"/>
              </w:rPr>
              <w:t>secondo anno</w:t>
            </w:r>
          </w:p>
        </w:tc>
        <w:tc>
          <w:tcPr>
            <w:tcW w:w="1760" w:type="dxa"/>
            <w:hideMark/>
          </w:tcPr>
          <w:p w14:paraId="4D42932D" w14:textId="77777777" w:rsidR="000E557D" w:rsidRPr="002D58B0" w:rsidRDefault="000E557D" w:rsidP="000E557D">
            <w:pPr>
              <w:shd w:val="clear" w:color="auto" w:fill="FFFFFF"/>
              <w:spacing w:after="120"/>
              <w:rPr>
                <w:rFonts w:cs="Calibri"/>
              </w:rPr>
            </w:pPr>
            <w:r w:rsidRPr="002D58B0">
              <w:rPr>
                <w:rFonts w:cs="Calibri"/>
              </w:rPr>
              <w:t>mag-27</w:t>
            </w:r>
          </w:p>
        </w:tc>
        <w:tc>
          <w:tcPr>
            <w:tcW w:w="1640" w:type="dxa"/>
            <w:hideMark/>
          </w:tcPr>
          <w:p w14:paraId="0E150436"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574F3D72" w14:textId="77777777" w:rsidR="000E557D" w:rsidRPr="002D58B0" w:rsidRDefault="000E557D" w:rsidP="000E557D">
            <w:pPr>
              <w:shd w:val="clear" w:color="auto" w:fill="FFFFFF"/>
              <w:spacing w:after="120"/>
              <w:rPr>
                <w:rFonts w:cs="Calibri"/>
              </w:rPr>
            </w:pPr>
            <w:r w:rsidRPr="002D58B0">
              <w:rPr>
                <w:rFonts w:cs="Calibri"/>
              </w:rPr>
              <w:t>Il corso è erogato in inglese. La verifica dell'apprendimento raggiunto al termine del corso potrà essere effettuata mediante un test somministrato alla fine del corso o mediante la redazione di una relazione scritta sui temi del modulo o un colloquio sugli argomenti erogati.</w:t>
            </w:r>
          </w:p>
        </w:tc>
        <w:tc>
          <w:tcPr>
            <w:tcW w:w="4020" w:type="dxa"/>
            <w:hideMark/>
          </w:tcPr>
          <w:p w14:paraId="15F5103D" w14:textId="77777777" w:rsidR="000E557D" w:rsidRPr="002D58B0" w:rsidRDefault="000E557D" w:rsidP="000E557D">
            <w:pPr>
              <w:shd w:val="clear" w:color="auto" w:fill="FFFFFF"/>
              <w:spacing w:after="120"/>
              <w:rPr>
                <w:rFonts w:cs="Calibri"/>
              </w:rPr>
            </w:pPr>
            <w:r w:rsidRPr="002D58B0">
              <w:rPr>
                <w:rFonts w:cs="Calibri"/>
              </w:rPr>
              <w:t>Prof. Paolo Pagano (FIS/06), Dip. Chimica e Fisica "Emilio Segrè", Università di Palermo</w:t>
            </w:r>
          </w:p>
        </w:tc>
        <w:tc>
          <w:tcPr>
            <w:tcW w:w="2940" w:type="dxa"/>
            <w:hideMark/>
          </w:tcPr>
          <w:p w14:paraId="757CB51F" w14:textId="77777777" w:rsidR="000E557D" w:rsidRPr="002D58B0" w:rsidRDefault="000E557D" w:rsidP="000E557D">
            <w:pPr>
              <w:shd w:val="clear" w:color="auto" w:fill="FFFFFF"/>
              <w:spacing w:after="120"/>
              <w:rPr>
                <w:rFonts w:cs="Calibri"/>
              </w:rPr>
            </w:pPr>
            <w:r w:rsidRPr="002D58B0">
              <w:rPr>
                <w:rFonts w:cs="Calibri"/>
              </w:rPr>
              <w:t>Dip. Chimica e Fisica "Emilio Segrè", Università di Palermo</w:t>
            </w:r>
          </w:p>
        </w:tc>
      </w:tr>
      <w:tr w:rsidR="000E557D" w:rsidRPr="00747B86" w14:paraId="259AFE06" w14:textId="77777777" w:rsidTr="000E557D">
        <w:trPr>
          <w:trHeight w:val="1990"/>
        </w:trPr>
        <w:tc>
          <w:tcPr>
            <w:tcW w:w="29100" w:type="dxa"/>
            <w:gridSpan w:val="10"/>
            <w:hideMark/>
          </w:tcPr>
          <w:p w14:paraId="6796F752" w14:textId="77777777" w:rsidR="000E557D" w:rsidRPr="002D58B0" w:rsidRDefault="000E557D" w:rsidP="000E557D">
            <w:pPr>
              <w:shd w:val="clear" w:color="auto" w:fill="FFFFFF"/>
              <w:spacing w:after="120"/>
              <w:rPr>
                <w:rFonts w:cs="Calibri"/>
                <w:lang w:val="en-GB"/>
              </w:rPr>
            </w:pPr>
            <w:r w:rsidRPr="002D58B0">
              <w:rPr>
                <w:rFonts w:cs="Calibri"/>
                <w:lang w:val="en-GB"/>
              </w:rPr>
              <w:t xml:space="preserve">Breve </w:t>
            </w:r>
            <w:proofErr w:type="spellStart"/>
            <w:r w:rsidRPr="002D58B0">
              <w:rPr>
                <w:rFonts w:cs="Calibri"/>
                <w:lang w:val="en-GB"/>
              </w:rPr>
              <w:t>descrizione</w:t>
            </w:r>
            <w:proofErr w:type="spellEnd"/>
            <w:r w:rsidRPr="002D58B0">
              <w:rPr>
                <w:rFonts w:cs="Calibri"/>
                <w:lang w:val="en-GB"/>
              </w:rPr>
              <w:t xml:space="preserve">. The course will cover </w:t>
            </w:r>
            <w:proofErr w:type="gramStart"/>
            <w:r w:rsidRPr="002D58B0">
              <w:rPr>
                <w:rFonts w:cs="Calibri"/>
                <w:lang w:val="en-GB"/>
              </w:rPr>
              <w:t>a number of</w:t>
            </w:r>
            <w:proofErr w:type="gramEnd"/>
            <w:r w:rsidRPr="002D58B0">
              <w:rPr>
                <w:rFonts w:cs="Calibri"/>
                <w:lang w:val="en-GB"/>
              </w:rPr>
              <w:t xml:space="preserve"> topics relevant for the study of atmospheres to understand climate change primarily focusing on the use of numerical models to describe Earth's atmosphere. In addition, the course also covers how space research contributes to monitoring the climate on Earth and the risks on Earth from space weather events such as solar flares. Contents: models of atmospheres with different chemical compositions; response to solar irradiance; numerical methods for meteorology and climate; models for anthropogenic impact on climate; use of </w:t>
            </w:r>
            <w:proofErr w:type="spellStart"/>
            <w:r w:rsidRPr="002D58B0">
              <w:rPr>
                <w:rFonts w:cs="Calibri"/>
                <w:lang w:val="en-GB"/>
              </w:rPr>
              <w:t>circumterrestrial</w:t>
            </w:r>
            <w:proofErr w:type="spellEnd"/>
            <w:r w:rsidRPr="002D58B0">
              <w:rPr>
                <w:rFonts w:cs="Calibri"/>
                <w:lang w:val="en-GB"/>
              </w:rPr>
              <w:t xml:space="preserve"> satellites to monitor climate and atmospheric composition; sustainability of technological development in space; risks related to space weather.</w:t>
            </w:r>
          </w:p>
        </w:tc>
      </w:tr>
      <w:tr w:rsidR="000E557D" w:rsidRPr="002D58B0" w14:paraId="40404509" w14:textId="77777777" w:rsidTr="000E557D">
        <w:trPr>
          <w:trHeight w:val="3290"/>
        </w:trPr>
        <w:tc>
          <w:tcPr>
            <w:tcW w:w="580" w:type="dxa"/>
            <w:noWrap/>
            <w:hideMark/>
          </w:tcPr>
          <w:p w14:paraId="461001F9" w14:textId="77777777" w:rsidR="000E557D" w:rsidRPr="002D58B0" w:rsidRDefault="000E557D" w:rsidP="000E557D">
            <w:pPr>
              <w:shd w:val="clear" w:color="auto" w:fill="FFFFFF"/>
              <w:spacing w:after="120"/>
              <w:rPr>
                <w:rFonts w:cs="Calibri"/>
              </w:rPr>
            </w:pPr>
            <w:r w:rsidRPr="002D58B0">
              <w:rPr>
                <w:rFonts w:cs="Calibri"/>
              </w:rPr>
              <w:t>10</w:t>
            </w:r>
          </w:p>
        </w:tc>
        <w:tc>
          <w:tcPr>
            <w:tcW w:w="5280" w:type="dxa"/>
            <w:hideMark/>
          </w:tcPr>
          <w:p w14:paraId="6F288678" w14:textId="77777777" w:rsidR="000E557D" w:rsidRPr="002D58B0" w:rsidRDefault="000E557D" w:rsidP="000E557D">
            <w:pPr>
              <w:shd w:val="clear" w:color="auto" w:fill="FFFFFF"/>
              <w:spacing w:after="120"/>
              <w:rPr>
                <w:rFonts w:cs="Calibri"/>
                <w:lang w:val="en-GB"/>
              </w:rPr>
            </w:pPr>
            <w:r w:rsidRPr="002D58B0">
              <w:rPr>
                <w:rFonts w:cs="Calibri"/>
                <w:lang w:val="en-GB"/>
              </w:rPr>
              <w:t>Climate change mitigation and nature-based solutions</w:t>
            </w:r>
          </w:p>
        </w:tc>
        <w:tc>
          <w:tcPr>
            <w:tcW w:w="1380" w:type="dxa"/>
            <w:hideMark/>
          </w:tcPr>
          <w:p w14:paraId="00BBA1B5" w14:textId="77777777" w:rsidR="000E557D" w:rsidRPr="002D58B0" w:rsidRDefault="000E557D" w:rsidP="000E557D">
            <w:pPr>
              <w:shd w:val="clear" w:color="auto" w:fill="FFFFFF"/>
              <w:spacing w:after="120"/>
              <w:rPr>
                <w:rFonts w:cs="Calibri"/>
              </w:rPr>
            </w:pPr>
            <w:r w:rsidRPr="002D58B0">
              <w:rPr>
                <w:rFonts w:cs="Calibri"/>
              </w:rPr>
              <w:t>5</w:t>
            </w:r>
          </w:p>
        </w:tc>
        <w:tc>
          <w:tcPr>
            <w:tcW w:w="2280" w:type="dxa"/>
            <w:hideMark/>
          </w:tcPr>
          <w:p w14:paraId="393756D3" w14:textId="77777777" w:rsidR="000E557D" w:rsidRPr="002D58B0" w:rsidRDefault="000E557D" w:rsidP="000E557D">
            <w:pPr>
              <w:shd w:val="clear" w:color="auto" w:fill="FFFFFF"/>
              <w:spacing w:after="120"/>
              <w:rPr>
                <w:rFonts w:cs="Calibri"/>
              </w:rPr>
            </w:pPr>
            <w:r w:rsidRPr="002D58B0">
              <w:rPr>
                <w:rFonts w:cs="Calibri"/>
              </w:rPr>
              <w:t>1</w:t>
            </w:r>
          </w:p>
        </w:tc>
        <w:tc>
          <w:tcPr>
            <w:tcW w:w="2540" w:type="dxa"/>
            <w:noWrap/>
            <w:hideMark/>
          </w:tcPr>
          <w:p w14:paraId="1B0AADBA" w14:textId="77777777" w:rsidR="000E557D" w:rsidRPr="002D58B0" w:rsidRDefault="000E557D" w:rsidP="000E557D">
            <w:pPr>
              <w:shd w:val="clear" w:color="auto" w:fill="FFFFFF"/>
              <w:spacing w:after="120"/>
              <w:rPr>
                <w:rFonts w:cs="Calibri"/>
              </w:rPr>
            </w:pPr>
            <w:r w:rsidRPr="002D58B0">
              <w:rPr>
                <w:rFonts w:cs="Calibri"/>
              </w:rPr>
              <w:t>secondo anno</w:t>
            </w:r>
          </w:p>
        </w:tc>
        <w:tc>
          <w:tcPr>
            <w:tcW w:w="1760" w:type="dxa"/>
            <w:hideMark/>
          </w:tcPr>
          <w:p w14:paraId="03B78C0B" w14:textId="77777777" w:rsidR="000E557D" w:rsidRPr="002D58B0" w:rsidRDefault="000E557D" w:rsidP="000E557D">
            <w:pPr>
              <w:shd w:val="clear" w:color="auto" w:fill="FFFFFF"/>
              <w:spacing w:after="120"/>
              <w:rPr>
                <w:rFonts w:cs="Calibri"/>
              </w:rPr>
            </w:pPr>
            <w:r w:rsidRPr="002D58B0">
              <w:rPr>
                <w:rFonts w:cs="Calibri"/>
              </w:rPr>
              <w:t>mar-27</w:t>
            </w:r>
          </w:p>
        </w:tc>
        <w:tc>
          <w:tcPr>
            <w:tcW w:w="1640" w:type="dxa"/>
            <w:hideMark/>
          </w:tcPr>
          <w:p w14:paraId="338442CF"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7403DD9B" w14:textId="77777777" w:rsidR="000E557D" w:rsidRPr="002D58B0" w:rsidRDefault="000E557D" w:rsidP="000E557D">
            <w:pPr>
              <w:shd w:val="clear" w:color="auto" w:fill="FFFFFF"/>
              <w:spacing w:after="120"/>
              <w:rPr>
                <w:rFonts w:cs="Calibri"/>
              </w:rPr>
            </w:pPr>
            <w:r w:rsidRPr="002D58B0">
              <w:rPr>
                <w:rFonts w:cs="Calibri"/>
              </w:rPr>
              <w:t xml:space="preserve">Il corso è erogato in inglese. La verifica dell'apprendimento raggiunto al termine del corso potrà essere effettuata mediante un test somministrato alla fine del corso o </w:t>
            </w:r>
            <w:r w:rsidRPr="002D58B0">
              <w:rPr>
                <w:rFonts w:cs="Calibri"/>
              </w:rPr>
              <w:lastRenderedPageBreak/>
              <w:t>mediante la redazione di una relazione scritta sui temi del modulo o un colloquio sugli argomenti erogati.</w:t>
            </w:r>
          </w:p>
        </w:tc>
        <w:tc>
          <w:tcPr>
            <w:tcW w:w="4020" w:type="dxa"/>
            <w:hideMark/>
          </w:tcPr>
          <w:p w14:paraId="53597E6A" w14:textId="77777777" w:rsidR="000E557D" w:rsidRPr="002D58B0" w:rsidRDefault="000E557D" w:rsidP="000E557D">
            <w:pPr>
              <w:shd w:val="clear" w:color="auto" w:fill="FFFFFF"/>
              <w:spacing w:after="120"/>
              <w:rPr>
                <w:rFonts w:cs="Calibri"/>
              </w:rPr>
            </w:pPr>
            <w:r w:rsidRPr="002D58B0">
              <w:rPr>
                <w:rFonts w:cs="Calibri"/>
              </w:rPr>
              <w:lastRenderedPageBreak/>
              <w:t>Prof.ssa Salvatrice Vizzini (BIO/07), Dip. Scienze della Terra e del Mare, Università di Palermo</w:t>
            </w:r>
          </w:p>
        </w:tc>
        <w:tc>
          <w:tcPr>
            <w:tcW w:w="2940" w:type="dxa"/>
            <w:hideMark/>
          </w:tcPr>
          <w:p w14:paraId="2B539322" w14:textId="77777777" w:rsidR="000E557D" w:rsidRPr="002D58B0" w:rsidRDefault="000E557D" w:rsidP="000E557D">
            <w:pPr>
              <w:shd w:val="clear" w:color="auto" w:fill="FFFFFF"/>
              <w:spacing w:after="120"/>
              <w:rPr>
                <w:rFonts w:cs="Calibri"/>
              </w:rPr>
            </w:pPr>
            <w:r w:rsidRPr="002D58B0">
              <w:rPr>
                <w:rFonts w:cs="Calibri"/>
              </w:rPr>
              <w:t xml:space="preserve">Dip. Scienze della Terra e del Mare, Università di </w:t>
            </w:r>
            <w:r w:rsidRPr="002D58B0">
              <w:rPr>
                <w:rFonts w:cs="Calibri"/>
              </w:rPr>
              <w:lastRenderedPageBreak/>
              <w:t>Palermo</w:t>
            </w:r>
          </w:p>
        </w:tc>
      </w:tr>
      <w:tr w:rsidR="000E557D" w:rsidRPr="00747B86" w14:paraId="6AC57CC1" w14:textId="77777777" w:rsidTr="000E557D">
        <w:trPr>
          <w:trHeight w:val="1530"/>
        </w:trPr>
        <w:tc>
          <w:tcPr>
            <w:tcW w:w="29100" w:type="dxa"/>
            <w:gridSpan w:val="10"/>
            <w:hideMark/>
          </w:tcPr>
          <w:p w14:paraId="7CA54142" w14:textId="77777777" w:rsidR="000E557D" w:rsidRPr="002D58B0" w:rsidRDefault="000E557D" w:rsidP="000E557D">
            <w:pPr>
              <w:shd w:val="clear" w:color="auto" w:fill="FFFFFF"/>
              <w:spacing w:after="120"/>
              <w:rPr>
                <w:rFonts w:cs="Calibri"/>
                <w:lang w:val="en-GB"/>
              </w:rPr>
            </w:pPr>
            <w:r w:rsidRPr="002D58B0">
              <w:rPr>
                <w:rFonts w:cs="Calibri"/>
                <w:lang w:val="en-GB"/>
              </w:rPr>
              <w:lastRenderedPageBreak/>
              <w:t xml:space="preserve">Breve </w:t>
            </w:r>
            <w:proofErr w:type="spellStart"/>
            <w:r w:rsidRPr="002D58B0">
              <w:rPr>
                <w:rFonts w:cs="Calibri"/>
                <w:lang w:val="en-GB"/>
              </w:rPr>
              <w:t>descrizione</w:t>
            </w:r>
            <w:proofErr w:type="spellEnd"/>
            <w:r w:rsidRPr="002D58B0">
              <w:rPr>
                <w:rFonts w:cs="Calibri"/>
                <w:lang w:val="en-GB"/>
              </w:rPr>
              <w:t>. The course addresses climate change, its causes, impacts on ecosystems and the challenge of climate mitigation. Focus will be given to the role of ecosystems, particularly marine ecosystems, in climate change adaptation and mitigation processes. Nature-based solutions that can help address the challenge of climate change effectively and adaptively, land management strategies, co-benefits and barriers will be analysed, also in the light of climate policy instruments.</w:t>
            </w:r>
          </w:p>
        </w:tc>
      </w:tr>
      <w:tr w:rsidR="000E557D" w:rsidRPr="002D58B0" w14:paraId="1630620E" w14:textId="77777777" w:rsidTr="000E557D">
        <w:trPr>
          <w:trHeight w:val="3290"/>
        </w:trPr>
        <w:tc>
          <w:tcPr>
            <w:tcW w:w="580" w:type="dxa"/>
            <w:noWrap/>
            <w:hideMark/>
          </w:tcPr>
          <w:p w14:paraId="354FFB04" w14:textId="77777777" w:rsidR="000E557D" w:rsidRPr="002D58B0" w:rsidRDefault="000E557D" w:rsidP="000E557D">
            <w:pPr>
              <w:shd w:val="clear" w:color="auto" w:fill="FFFFFF"/>
              <w:spacing w:after="120"/>
              <w:rPr>
                <w:rFonts w:cs="Calibri"/>
              </w:rPr>
            </w:pPr>
            <w:r w:rsidRPr="002D58B0">
              <w:rPr>
                <w:rFonts w:cs="Calibri"/>
              </w:rPr>
              <w:t>11</w:t>
            </w:r>
          </w:p>
        </w:tc>
        <w:tc>
          <w:tcPr>
            <w:tcW w:w="5280" w:type="dxa"/>
            <w:hideMark/>
          </w:tcPr>
          <w:p w14:paraId="585D8884" w14:textId="77777777" w:rsidR="000E557D" w:rsidRPr="002D58B0" w:rsidRDefault="000E557D" w:rsidP="000E557D">
            <w:pPr>
              <w:shd w:val="clear" w:color="auto" w:fill="FFFFFF"/>
              <w:spacing w:after="120"/>
              <w:rPr>
                <w:rFonts w:cs="Calibri"/>
              </w:rPr>
            </w:pPr>
            <w:r w:rsidRPr="002D58B0">
              <w:rPr>
                <w:rFonts w:cs="Calibri"/>
              </w:rPr>
              <w:t xml:space="preserve">Food </w:t>
            </w:r>
            <w:proofErr w:type="spellStart"/>
            <w:r w:rsidRPr="002D58B0">
              <w:rPr>
                <w:rFonts w:cs="Calibri"/>
              </w:rPr>
              <w:t>law</w:t>
            </w:r>
            <w:proofErr w:type="spellEnd"/>
            <w:r w:rsidRPr="002D58B0">
              <w:rPr>
                <w:rFonts w:cs="Calibri"/>
              </w:rPr>
              <w:t xml:space="preserve"> and </w:t>
            </w:r>
            <w:proofErr w:type="spellStart"/>
            <w:r w:rsidRPr="002D58B0">
              <w:rPr>
                <w:rFonts w:cs="Calibri"/>
              </w:rPr>
              <w:t>environment</w:t>
            </w:r>
            <w:proofErr w:type="spellEnd"/>
          </w:p>
        </w:tc>
        <w:tc>
          <w:tcPr>
            <w:tcW w:w="1380" w:type="dxa"/>
            <w:hideMark/>
          </w:tcPr>
          <w:p w14:paraId="174B1569" w14:textId="77777777" w:rsidR="000E557D" w:rsidRPr="002D58B0" w:rsidRDefault="000E557D" w:rsidP="000E557D">
            <w:pPr>
              <w:shd w:val="clear" w:color="auto" w:fill="FFFFFF"/>
              <w:spacing w:after="120"/>
              <w:rPr>
                <w:rFonts w:cs="Calibri"/>
              </w:rPr>
            </w:pPr>
            <w:r w:rsidRPr="002D58B0">
              <w:rPr>
                <w:rFonts w:cs="Calibri"/>
              </w:rPr>
              <w:t>5</w:t>
            </w:r>
          </w:p>
        </w:tc>
        <w:tc>
          <w:tcPr>
            <w:tcW w:w="2280" w:type="dxa"/>
            <w:hideMark/>
          </w:tcPr>
          <w:p w14:paraId="36810E60" w14:textId="77777777" w:rsidR="000E557D" w:rsidRPr="002D58B0" w:rsidRDefault="000E557D" w:rsidP="000E557D">
            <w:pPr>
              <w:shd w:val="clear" w:color="auto" w:fill="FFFFFF"/>
              <w:spacing w:after="120"/>
              <w:rPr>
                <w:rFonts w:cs="Calibri"/>
              </w:rPr>
            </w:pPr>
            <w:r w:rsidRPr="002D58B0">
              <w:rPr>
                <w:rFonts w:cs="Calibri"/>
              </w:rPr>
              <w:t>1</w:t>
            </w:r>
          </w:p>
        </w:tc>
        <w:tc>
          <w:tcPr>
            <w:tcW w:w="2540" w:type="dxa"/>
            <w:noWrap/>
            <w:hideMark/>
          </w:tcPr>
          <w:p w14:paraId="10113951" w14:textId="77777777" w:rsidR="000E557D" w:rsidRPr="002D58B0" w:rsidRDefault="000E557D" w:rsidP="000E557D">
            <w:pPr>
              <w:shd w:val="clear" w:color="auto" w:fill="FFFFFF"/>
              <w:spacing w:after="120"/>
              <w:rPr>
                <w:rFonts w:cs="Calibri"/>
              </w:rPr>
            </w:pPr>
            <w:r w:rsidRPr="002D58B0">
              <w:rPr>
                <w:rFonts w:cs="Calibri"/>
              </w:rPr>
              <w:t>secondo anno</w:t>
            </w:r>
          </w:p>
        </w:tc>
        <w:tc>
          <w:tcPr>
            <w:tcW w:w="1760" w:type="dxa"/>
            <w:hideMark/>
          </w:tcPr>
          <w:p w14:paraId="7FD093FD" w14:textId="77777777" w:rsidR="000E557D" w:rsidRPr="002D58B0" w:rsidRDefault="000E557D" w:rsidP="000E557D">
            <w:pPr>
              <w:shd w:val="clear" w:color="auto" w:fill="FFFFFF"/>
              <w:spacing w:after="120"/>
              <w:rPr>
                <w:rFonts w:cs="Calibri"/>
              </w:rPr>
            </w:pPr>
            <w:r w:rsidRPr="002D58B0">
              <w:rPr>
                <w:rFonts w:cs="Calibri"/>
              </w:rPr>
              <w:t>mag-27</w:t>
            </w:r>
          </w:p>
        </w:tc>
        <w:tc>
          <w:tcPr>
            <w:tcW w:w="1640" w:type="dxa"/>
            <w:hideMark/>
          </w:tcPr>
          <w:p w14:paraId="7FCA609E"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11E99C97" w14:textId="77777777" w:rsidR="000E557D" w:rsidRPr="002D58B0" w:rsidRDefault="000E557D" w:rsidP="000E557D">
            <w:pPr>
              <w:shd w:val="clear" w:color="auto" w:fill="FFFFFF"/>
              <w:spacing w:after="120"/>
              <w:rPr>
                <w:rFonts w:cs="Calibri"/>
              </w:rPr>
            </w:pPr>
            <w:r w:rsidRPr="002D58B0">
              <w:rPr>
                <w:rFonts w:cs="Calibri"/>
              </w:rPr>
              <w:t>Il corso è erogato in inglese. La verifica dell'apprendimento raggiunto al termine del corso potrà essere effettuata mediante un test somministrato alla fine del corso o mediante la redazione di una relazione scritta sui temi del modulo o un colloquio sugli argomenti erogati.</w:t>
            </w:r>
          </w:p>
        </w:tc>
        <w:tc>
          <w:tcPr>
            <w:tcW w:w="4020" w:type="dxa"/>
            <w:hideMark/>
          </w:tcPr>
          <w:p w14:paraId="4A2904D4" w14:textId="77777777" w:rsidR="000E557D" w:rsidRPr="002D58B0" w:rsidRDefault="000E557D" w:rsidP="000E557D">
            <w:pPr>
              <w:shd w:val="clear" w:color="auto" w:fill="FFFFFF"/>
              <w:spacing w:after="120"/>
              <w:rPr>
                <w:rFonts w:cs="Calibri"/>
              </w:rPr>
            </w:pPr>
            <w:r w:rsidRPr="002D58B0">
              <w:rPr>
                <w:rFonts w:cs="Calibri"/>
              </w:rPr>
              <w:t>Prof.ssa Antonietta Lupo (IUS/10), Dip.  Scienze Politiche e Giuridiche, Università di Messina</w:t>
            </w:r>
          </w:p>
        </w:tc>
        <w:tc>
          <w:tcPr>
            <w:tcW w:w="2940" w:type="dxa"/>
            <w:hideMark/>
          </w:tcPr>
          <w:p w14:paraId="22AB06CB" w14:textId="77777777" w:rsidR="000E557D" w:rsidRPr="002D58B0" w:rsidRDefault="000E557D" w:rsidP="000E557D">
            <w:pPr>
              <w:shd w:val="clear" w:color="auto" w:fill="FFFFFF"/>
              <w:spacing w:after="120"/>
              <w:rPr>
                <w:rFonts w:cs="Calibri"/>
              </w:rPr>
            </w:pPr>
            <w:r w:rsidRPr="002D58B0">
              <w:rPr>
                <w:rFonts w:cs="Calibri"/>
              </w:rPr>
              <w:t>Dip.  Scienze Politiche e Giuridiche, Università di Messina</w:t>
            </w:r>
          </w:p>
        </w:tc>
      </w:tr>
      <w:tr w:rsidR="000E557D" w:rsidRPr="00747B86" w14:paraId="65C2413B" w14:textId="77777777" w:rsidTr="000E557D">
        <w:trPr>
          <w:trHeight w:val="3810"/>
        </w:trPr>
        <w:tc>
          <w:tcPr>
            <w:tcW w:w="29100" w:type="dxa"/>
            <w:gridSpan w:val="10"/>
            <w:hideMark/>
          </w:tcPr>
          <w:p w14:paraId="592E716D" w14:textId="77777777" w:rsidR="000E557D" w:rsidRPr="002D58B0" w:rsidRDefault="000E557D" w:rsidP="000E557D">
            <w:pPr>
              <w:shd w:val="clear" w:color="auto" w:fill="FFFFFF"/>
              <w:spacing w:after="120"/>
              <w:rPr>
                <w:rFonts w:cs="Calibri"/>
                <w:lang w:val="en-GB"/>
              </w:rPr>
            </w:pPr>
            <w:r w:rsidRPr="002D58B0">
              <w:rPr>
                <w:rFonts w:cs="Calibri"/>
                <w:lang w:val="en-GB"/>
              </w:rPr>
              <w:lastRenderedPageBreak/>
              <w:t xml:space="preserve">Breve </w:t>
            </w:r>
            <w:proofErr w:type="spellStart"/>
            <w:r w:rsidRPr="002D58B0">
              <w:rPr>
                <w:rFonts w:cs="Calibri"/>
                <w:lang w:val="en-GB"/>
              </w:rPr>
              <w:t>descrizione</w:t>
            </w:r>
            <w:proofErr w:type="spellEnd"/>
            <w:r w:rsidRPr="002D58B0">
              <w:rPr>
                <w:rFonts w:cs="Calibri"/>
                <w:lang w:val="en-GB"/>
              </w:rPr>
              <w:t xml:space="preserve">. The aim of the Food Law and Environment course is to provide PhD students with the conceptual tools needed to understand the different interactions existing between the environmental and food issues and to understand the ability of the "primary" sector to provide a material contribution to the environment-society relationship. There is no doubt that the current global agri-food system - oriented towards the intensification of food production - </w:t>
            </w:r>
            <w:proofErr w:type="gramStart"/>
            <w:r w:rsidRPr="002D58B0">
              <w:rPr>
                <w:rFonts w:cs="Calibri"/>
                <w:lang w:val="en-GB"/>
              </w:rPr>
              <w:t>is in conflict with</w:t>
            </w:r>
            <w:proofErr w:type="gramEnd"/>
            <w:r w:rsidRPr="002D58B0">
              <w:rPr>
                <w:rFonts w:cs="Calibri"/>
                <w:lang w:val="en-GB"/>
              </w:rPr>
              <w:t xml:space="preserve"> the environment, generating soil degradation, loss of biodiversity, environmental contamination, climate change. However, environmental and food interests can have a relationship of conciliation if production activities respond to the principle of environmental sustainability; a principle on which the commitments made at international (Agenda 2030) and European level (European Green Deal and the related strategies "From farm to fork" and "Biodiversity Strategy 2030") are based to achieve an effective ecological transition. The Course opens with a survey of the current regulatory framework (international, European and national) of reference and continues with the in-depth analysis of some of the main implementation tools hypothesized (e.g. agroecology, agricultural biotechnology, circular economy) to address this important socioeconomic paradigm shift and create a concrete synergistic relationship between the agri-food system and the environment.</w:t>
            </w:r>
          </w:p>
        </w:tc>
      </w:tr>
      <w:tr w:rsidR="000E557D" w:rsidRPr="002D58B0" w14:paraId="539ED3DE" w14:textId="77777777" w:rsidTr="000E557D">
        <w:trPr>
          <w:trHeight w:val="3290"/>
        </w:trPr>
        <w:tc>
          <w:tcPr>
            <w:tcW w:w="580" w:type="dxa"/>
            <w:noWrap/>
            <w:hideMark/>
          </w:tcPr>
          <w:p w14:paraId="684D5E15" w14:textId="77777777" w:rsidR="000E557D" w:rsidRPr="002D58B0" w:rsidRDefault="000E557D" w:rsidP="000E557D">
            <w:pPr>
              <w:shd w:val="clear" w:color="auto" w:fill="FFFFFF"/>
              <w:spacing w:after="120"/>
              <w:rPr>
                <w:rFonts w:cs="Calibri"/>
              </w:rPr>
            </w:pPr>
            <w:r w:rsidRPr="002D58B0">
              <w:rPr>
                <w:rFonts w:cs="Calibri"/>
              </w:rPr>
              <w:t>12</w:t>
            </w:r>
          </w:p>
        </w:tc>
        <w:tc>
          <w:tcPr>
            <w:tcW w:w="5280" w:type="dxa"/>
            <w:hideMark/>
          </w:tcPr>
          <w:p w14:paraId="7B1F29CF" w14:textId="77777777" w:rsidR="000E557D" w:rsidRPr="002D58B0" w:rsidRDefault="000E557D" w:rsidP="000E557D">
            <w:pPr>
              <w:shd w:val="clear" w:color="auto" w:fill="FFFFFF"/>
              <w:spacing w:after="120"/>
              <w:rPr>
                <w:rFonts w:cs="Calibri"/>
                <w:lang w:val="en-GB"/>
              </w:rPr>
            </w:pPr>
            <w:r w:rsidRPr="002D58B0">
              <w:rPr>
                <w:rFonts w:cs="Calibri"/>
                <w:lang w:val="en-GB"/>
              </w:rPr>
              <w:t>Trends and scenarios of the European and global energy system</w:t>
            </w:r>
          </w:p>
        </w:tc>
        <w:tc>
          <w:tcPr>
            <w:tcW w:w="1380" w:type="dxa"/>
            <w:hideMark/>
          </w:tcPr>
          <w:p w14:paraId="7593F6C3" w14:textId="77777777" w:rsidR="000E557D" w:rsidRPr="002D58B0" w:rsidRDefault="000E557D" w:rsidP="000E557D">
            <w:pPr>
              <w:shd w:val="clear" w:color="auto" w:fill="FFFFFF"/>
              <w:spacing w:after="120"/>
              <w:rPr>
                <w:rFonts w:cs="Calibri"/>
              </w:rPr>
            </w:pPr>
            <w:r w:rsidRPr="002D58B0">
              <w:rPr>
                <w:rFonts w:cs="Calibri"/>
              </w:rPr>
              <w:t>5</w:t>
            </w:r>
          </w:p>
        </w:tc>
        <w:tc>
          <w:tcPr>
            <w:tcW w:w="2280" w:type="dxa"/>
            <w:hideMark/>
          </w:tcPr>
          <w:p w14:paraId="486E8DC0" w14:textId="77777777" w:rsidR="000E557D" w:rsidRPr="002D58B0" w:rsidRDefault="000E557D" w:rsidP="000E557D">
            <w:pPr>
              <w:shd w:val="clear" w:color="auto" w:fill="FFFFFF"/>
              <w:spacing w:after="120"/>
              <w:rPr>
                <w:rFonts w:cs="Calibri"/>
              </w:rPr>
            </w:pPr>
          </w:p>
        </w:tc>
        <w:tc>
          <w:tcPr>
            <w:tcW w:w="2540" w:type="dxa"/>
            <w:noWrap/>
            <w:hideMark/>
          </w:tcPr>
          <w:p w14:paraId="5440E2C7" w14:textId="77777777" w:rsidR="000E557D" w:rsidRPr="002D58B0" w:rsidRDefault="000E557D" w:rsidP="000E557D">
            <w:pPr>
              <w:shd w:val="clear" w:color="auto" w:fill="FFFFFF"/>
              <w:spacing w:after="120"/>
              <w:rPr>
                <w:rFonts w:cs="Calibri"/>
              </w:rPr>
            </w:pPr>
            <w:r w:rsidRPr="002D58B0">
              <w:rPr>
                <w:rFonts w:cs="Calibri"/>
              </w:rPr>
              <w:t>secondo anno</w:t>
            </w:r>
          </w:p>
        </w:tc>
        <w:tc>
          <w:tcPr>
            <w:tcW w:w="1760" w:type="dxa"/>
            <w:hideMark/>
          </w:tcPr>
          <w:p w14:paraId="5848D8F0" w14:textId="77777777" w:rsidR="000E557D" w:rsidRPr="002D58B0" w:rsidRDefault="000E557D" w:rsidP="000E557D">
            <w:pPr>
              <w:shd w:val="clear" w:color="auto" w:fill="FFFFFF"/>
              <w:spacing w:after="120"/>
              <w:rPr>
                <w:rFonts w:cs="Calibri"/>
              </w:rPr>
            </w:pPr>
            <w:r w:rsidRPr="002D58B0">
              <w:rPr>
                <w:rFonts w:cs="Calibri"/>
              </w:rPr>
              <w:t>mag-27</w:t>
            </w:r>
          </w:p>
        </w:tc>
        <w:tc>
          <w:tcPr>
            <w:tcW w:w="1640" w:type="dxa"/>
            <w:hideMark/>
          </w:tcPr>
          <w:p w14:paraId="7DB7578F"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7DA70A1F" w14:textId="77777777" w:rsidR="000E557D" w:rsidRPr="002D58B0" w:rsidRDefault="000E557D" w:rsidP="000E557D">
            <w:pPr>
              <w:shd w:val="clear" w:color="auto" w:fill="FFFFFF"/>
              <w:spacing w:after="120"/>
              <w:rPr>
                <w:rFonts w:cs="Calibri"/>
              </w:rPr>
            </w:pPr>
            <w:r w:rsidRPr="002D58B0">
              <w:rPr>
                <w:rFonts w:cs="Calibri"/>
              </w:rPr>
              <w:t>Il corso è erogato in inglese. La verifica dell'apprendimento raggiunto al termine del corso potrà essere effettuata mediante un test somministrato alla fine del corso o mediante la redazione di una relazione scritta sui temi del modulo o un colloquio sugli argomenti erogati.</w:t>
            </w:r>
          </w:p>
        </w:tc>
        <w:tc>
          <w:tcPr>
            <w:tcW w:w="4020" w:type="dxa"/>
            <w:hideMark/>
          </w:tcPr>
          <w:p w14:paraId="0C3C4D29" w14:textId="77777777" w:rsidR="000E557D" w:rsidRPr="002D58B0" w:rsidRDefault="000E557D" w:rsidP="000E557D">
            <w:pPr>
              <w:shd w:val="clear" w:color="auto" w:fill="FFFFFF"/>
              <w:spacing w:after="120"/>
              <w:rPr>
                <w:rFonts w:cs="Calibri"/>
              </w:rPr>
            </w:pPr>
            <w:r w:rsidRPr="002D58B0">
              <w:rPr>
                <w:rFonts w:cs="Calibri"/>
              </w:rPr>
              <w:t xml:space="preserve">Dott. Marco Ferraro, </w:t>
            </w:r>
            <w:proofErr w:type="spellStart"/>
            <w:r w:rsidRPr="002D58B0">
              <w:rPr>
                <w:rFonts w:cs="Calibri"/>
              </w:rPr>
              <w:t>Ricecatore</w:t>
            </w:r>
            <w:proofErr w:type="spellEnd"/>
            <w:r w:rsidRPr="002D58B0">
              <w:rPr>
                <w:rFonts w:cs="Calibri"/>
              </w:rPr>
              <w:t xml:space="preserve"> II Livello CNR, Istituto di Tecnologie Avanzate per l'Energia "Nicola Giordano"</w:t>
            </w:r>
          </w:p>
        </w:tc>
        <w:tc>
          <w:tcPr>
            <w:tcW w:w="2940" w:type="dxa"/>
            <w:hideMark/>
          </w:tcPr>
          <w:p w14:paraId="0068E827" w14:textId="77777777" w:rsidR="000E557D" w:rsidRPr="002D58B0" w:rsidRDefault="000E557D" w:rsidP="000E557D">
            <w:pPr>
              <w:shd w:val="clear" w:color="auto" w:fill="FFFFFF"/>
              <w:spacing w:after="120"/>
              <w:rPr>
                <w:rFonts w:cs="Calibri"/>
              </w:rPr>
            </w:pPr>
            <w:r w:rsidRPr="002D58B0">
              <w:rPr>
                <w:rFonts w:cs="Calibri"/>
              </w:rPr>
              <w:t>Dip. di Ingegneria, Università di Palermo</w:t>
            </w:r>
          </w:p>
        </w:tc>
      </w:tr>
      <w:tr w:rsidR="000E557D" w:rsidRPr="00747B86" w14:paraId="2BB7D67C" w14:textId="77777777" w:rsidTr="000E557D">
        <w:trPr>
          <w:trHeight w:val="1020"/>
        </w:trPr>
        <w:tc>
          <w:tcPr>
            <w:tcW w:w="29100" w:type="dxa"/>
            <w:gridSpan w:val="10"/>
            <w:hideMark/>
          </w:tcPr>
          <w:p w14:paraId="0F32D23B" w14:textId="77777777" w:rsidR="000E557D" w:rsidRPr="002D58B0" w:rsidRDefault="000E557D" w:rsidP="000E557D">
            <w:pPr>
              <w:shd w:val="clear" w:color="auto" w:fill="FFFFFF"/>
              <w:spacing w:after="120"/>
              <w:rPr>
                <w:rFonts w:cs="Calibri"/>
                <w:lang w:val="en-GB"/>
              </w:rPr>
            </w:pPr>
            <w:r w:rsidRPr="002D58B0">
              <w:rPr>
                <w:rFonts w:cs="Calibri"/>
                <w:lang w:val="en-GB"/>
              </w:rPr>
              <w:t xml:space="preserve">Breve </w:t>
            </w:r>
            <w:proofErr w:type="spellStart"/>
            <w:r w:rsidRPr="002D58B0">
              <w:rPr>
                <w:rFonts w:cs="Calibri"/>
                <w:lang w:val="en-GB"/>
              </w:rPr>
              <w:t>descrizione</w:t>
            </w:r>
            <w:proofErr w:type="spellEnd"/>
            <w:r w:rsidRPr="002D58B0">
              <w:rPr>
                <w:rFonts w:cs="Calibri"/>
                <w:lang w:val="en-GB"/>
              </w:rPr>
              <w:t xml:space="preserve">. The course will focus on the European and global context of energy infrastructures and technologies enabling the energy transition with specific insights into the available definitions and their scientific implications, </w:t>
            </w:r>
            <w:r w:rsidRPr="002D58B0">
              <w:rPr>
                <w:rFonts w:cs="Calibri"/>
                <w:lang w:val="en-GB"/>
              </w:rPr>
              <w:lastRenderedPageBreak/>
              <w:t>the technical solutions to be used and the most appropriate technologies depending on the geographical contexts.</w:t>
            </w:r>
          </w:p>
        </w:tc>
      </w:tr>
      <w:tr w:rsidR="000E557D" w:rsidRPr="002D58B0" w14:paraId="76BA3FB0" w14:textId="77777777" w:rsidTr="000E557D">
        <w:trPr>
          <w:trHeight w:val="3290"/>
        </w:trPr>
        <w:tc>
          <w:tcPr>
            <w:tcW w:w="580" w:type="dxa"/>
            <w:noWrap/>
            <w:hideMark/>
          </w:tcPr>
          <w:p w14:paraId="46AC1D9A" w14:textId="77777777" w:rsidR="000E557D" w:rsidRPr="002D58B0" w:rsidRDefault="000E557D" w:rsidP="000E557D">
            <w:pPr>
              <w:shd w:val="clear" w:color="auto" w:fill="FFFFFF"/>
              <w:spacing w:after="120"/>
              <w:rPr>
                <w:rFonts w:cs="Calibri"/>
              </w:rPr>
            </w:pPr>
            <w:r w:rsidRPr="002D58B0">
              <w:rPr>
                <w:rFonts w:cs="Calibri"/>
              </w:rPr>
              <w:lastRenderedPageBreak/>
              <w:t>13</w:t>
            </w:r>
          </w:p>
        </w:tc>
        <w:tc>
          <w:tcPr>
            <w:tcW w:w="5280" w:type="dxa"/>
            <w:hideMark/>
          </w:tcPr>
          <w:p w14:paraId="53F86C85" w14:textId="77777777" w:rsidR="000E557D" w:rsidRPr="002D58B0" w:rsidRDefault="000E557D" w:rsidP="000E557D">
            <w:pPr>
              <w:shd w:val="clear" w:color="auto" w:fill="FFFFFF"/>
              <w:spacing w:after="120"/>
              <w:rPr>
                <w:rFonts w:cs="Calibri"/>
                <w:lang w:val="en-GB"/>
              </w:rPr>
            </w:pPr>
            <w:r w:rsidRPr="002D58B0">
              <w:rPr>
                <w:rFonts w:cs="Calibri"/>
                <w:lang w:val="en-GB"/>
              </w:rPr>
              <w:t>The role of Positive Energy Districts in the energy transition</w:t>
            </w:r>
          </w:p>
        </w:tc>
        <w:tc>
          <w:tcPr>
            <w:tcW w:w="1380" w:type="dxa"/>
            <w:hideMark/>
          </w:tcPr>
          <w:p w14:paraId="7C680068" w14:textId="77777777" w:rsidR="000E557D" w:rsidRPr="002D58B0" w:rsidRDefault="000E557D" w:rsidP="000E557D">
            <w:pPr>
              <w:shd w:val="clear" w:color="auto" w:fill="FFFFFF"/>
              <w:spacing w:after="120"/>
              <w:rPr>
                <w:rFonts w:cs="Calibri"/>
              </w:rPr>
            </w:pPr>
            <w:r w:rsidRPr="002D58B0">
              <w:rPr>
                <w:rFonts w:cs="Calibri"/>
              </w:rPr>
              <w:t>5</w:t>
            </w:r>
          </w:p>
        </w:tc>
        <w:tc>
          <w:tcPr>
            <w:tcW w:w="2280" w:type="dxa"/>
            <w:hideMark/>
          </w:tcPr>
          <w:p w14:paraId="3CE48AAB" w14:textId="77777777" w:rsidR="000E557D" w:rsidRPr="002D58B0" w:rsidRDefault="000E557D" w:rsidP="000E557D">
            <w:pPr>
              <w:shd w:val="clear" w:color="auto" w:fill="FFFFFF"/>
              <w:spacing w:after="120"/>
              <w:rPr>
                <w:rFonts w:cs="Calibri"/>
              </w:rPr>
            </w:pPr>
            <w:r w:rsidRPr="002D58B0">
              <w:rPr>
                <w:rFonts w:cs="Calibri"/>
              </w:rPr>
              <w:t>1</w:t>
            </w:r>
          </w:p>
        </w:tc>
        <w:tc>
          <w:tcPr>
            <w:tcW w:w="2540" w:type="dxa"/>
            <w:noWrap/>
            <w:hideMark/>
          </w:tcPr>
          <w:p w14:paraId="26A8A9C0" w14:textId="77777777" w:rsidR="000E557D" w:rsidRPr="002D58B0" w:rsidRDefault="000E557D" w:rsidP="000E557D">
            <w:pPr>
              <w:shd w:val="clear" w:color="auto" w:fill="FFFFFF"/>
              <w:spacing w:after="120"/>
              <w:rPr>
                <w:rFonts w:cs="Calibri"/>
              </w:rPr>
            </w:pPr>
            <w:r w:rsidRPr="002D58B0">
              <w:rPr>
                <w:rFonts w:cs="Calibri"/>
              </w:rPr>
              <w:t>terzo anno</w:t>
            </w:r>
          </w:p>
        </w:tc>
        <w:tc>
          <w:tcPr>
            <w:tcW w:w="1760" w:type="dxa"/>
            <w:hideMark/>
          </w:tcPr>
          <w:p w14:paraId="2F84E63F" w14:textId="77777777" w:rsidR="000E557D" w:rsidRPr="002D58B0" w:rsidRDefault="000E557D" w:rsidP="000E557D">
            <w:pPr>
              <w:shd w:val="clear" w:color="auto" w:fill="FFFFFF"/>
              <w:spacing w:after="120"/>
              <w:rPr>
                <w:rFonts w:cs="Calibri"/>
              </w:rPr>
            </w:pPr>
            <w:r w:rsidRPr="002D58B0">
              <w:rPr>
                <w:rFonts w:cs="Calibri"/>
              </w:rPr>
              <w:t>mar-28</w:t>
            </w:r>
          </w:p>
        </w:tc>
        <w:tc>
          <w:tcPr>
            <w:tcW w:w="1640" w:type="dxa"/>
            <w:hideMark/>
          </w:tcPr>
          <w:p w14:paraId="1881BAE8"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43EC1CB7" w14:textId="77777777" w:rsidR="000E557D" w:rsidRPr="002D58B0" w:rsidRDefault="000E557D" w:rsidP="000E557D">
            <w:pPr>
              <w:shd w:val="clear" w:color="auto" w:fill="FFFFFF"/>
              <w:spacing w:after="120"/>
              <w:rPr>
                <w:rFonts w:cs="Calibri"/>
              </w:rPr>
            </w:pPr>
            <w:r w:rsidRPr="002D58B0">
              <w:rPr>
                <w:rFonts w:cs="Calibri"/>
              </w:rPr>
              <w:t>Il corso è erogato in inglese. La verifica dell'apprendimento raggiunto al termine del corso potrà essere effettuata mediante un test somministrato alla fine del corso o mediante la redazione di una relazione scritta sui temi del modulo o un colloquio sugli argomenti erogati.</w:t>
            </w:r>
          </w:p>
        </w:tc>
        <w:tc>
          <w:tcPr>
            <w:tcW w:w="4020" w:type="dxa"/>
            <w:hideMark/>
          </w:tcPr>
          <w:p w14:paraId="5416686E" w14:textId="77777777" w:rsidR="000E557D" w:rsidRPr="002D58B0" w:rsidRDefault="000E557D" w:rsidP="000E557D">
            <w:pPr>
              <w:shd w:val="clear" w:color="auto" w:fill="FFFFFF"/>
              <w:spacing w:after="120"/>
              <w:rPr>
                <w:rFonts w:cs="Calibri"/>
              </w:rPr>
            </w:pPr>
            <w:r w:rsidRPr="002D58B0">
              <w:rPr>
                <w:rFonts w:cs="Calibri"/>
              </w:rPr>
              <w:t xml:space="preserve">Prof. Maurizio </w:t>
            </w:r>
            <w:proofErr w:type="spellStart"/>
            <w:r w:rsidRPr="002D58B0">
              <w:rPr>
                <w:rFonts w:cs="Calibri"/>
              </w:rPr>
              <w:t>Cellura</w:t>
            </w:r>
            <w:proofErr w:type="spellEnd"/>
            <w:r w:rsidRPr="002D58B0">
              <w:rPr>
                <w:rFonts w:cs="Calibri"/>
              </w:rPr>
              <w:t xml:space="preserve"> (ING-IND/11), Dip. di Ingegneria, Università di Palermo</w:t>
            </w:r>
          </w:p>
        </w:tc>
        <w:tc>
          <w:tcPr>
            <w:tcW w:w="2940" w:type="dxa"/>
            <w:hideMark/>
          </w:tcPr>
          <w:p w14:paraId="7AB11687" w14:textId="77777777" w:rsidR="000E557D" w:rsidRPr="002D58B0" w:rsidRDefault="000E557D" w:rsidP="000E557D">
            <w:pPr>
              <w:shd w:val="clear" w:color="auto" w:fill="FFFFFF"/>
              <w:spacing w:after="120"/>
              <w:rPr>
                <w:rFonts w:cs="Calibri"/>
              </w:rPr>
            </w:pPr>
            <w:r w:rsidRPr="002D58B0">
              <w:rPr>
                <w:rFonts w:cs="Calibri"/>
              </w:rPr>
              <w:t>Dip. di Ingegneria, Università di Palermo</w:t>
            </w:r>
          </w:p>
        </w:tc>
      </w:tr>
      <w:tr w:rsidR="000E557D" w:rsidRPr="00747B86" w14:paraId="06FA74E3" w14:textId="77777777" w:rsidTr="000E557D">
        <w:trPr>
          <w:trHeight w:val="1990"/>
        </w:trPr>
        <w:tc>
          <w:tcPr>
            <w:tcW w:w="29100" w:type="dxa"/>
            <w:gridSpan w:val="10"/>
            <w:hideMark/>
          </w:tcPr>
          <w:p w14:paraId="622A2C82" w14:textId="77777777" w:rsidR="000E557D" w:rsidRPr="002D58B0" w:rsidRDefault="000E557D" w:rsidP="000E557D">
            <w:pPr>
              <w:shd w:val="clear" w:color="auto" w:fill="FFFFFF"/>
              <w:spacing w:after="120"/>
              <w:rPr>
                <w:rFonts w:cs="Calibri"/>
                <w:lang w:val="en-GB"/>
              </w:rPr>
            </w:pPr>
            <w:r w:rsidRPr="002D58B0">
              <w:rPr>
                <w:rFonts w:cs="Calibri"/>
                <w:lang w:val="en-GB"/>
              </w:rPr>
              <w:t xml:space="preserve">Breve </w:t>
            </w:r>
            <w:proofErr w:type="spellStart"/>
            <w:r w:rsidRPr="002D58B0">
              <w:rPr>
                <w:rFonts w:cs="Calibri"/>
                <w:lang w:val="en-GB"/>
              </w:rPr>
              <w:t>descrizione</w:t>
            </w:r>
            <w:proofErr w:type="spellEnd"/>
            <w:r w:rsidRPr="002D58B0">
              <w:rPr>
                <w:rFonts w:cs="Calibri"/>
                <w:lang w:val="en-GB"/>
              </w:rPr>
              <w:t>. The course will focus on the context of Positive Energy Districts (PED), with specific insights into the available definitions and their scientific implications, the technical solutions to be adopted, and the most suitable technologies based on geographical contexts. The fundamentals of dynamic energy modelling of PEDs will also be covered, both from a general perspective and with specific insights related to state-of-the-art tools for non-steady-state energy simulation. Finally, elements related to the sustainability perspective (from an environmental, economic, and social point of view) of Positive Energy Districts will be provided.</w:t>
            </w:r>
          </w:p>
        </w:tc>
      </w:tr>
      <w:tr w:rsidR="000E557D" w:rsidRPr="002D58B0" w14:paraId="7A231375" w14:textId="77777777" w:rsidTr="000E557D">
        <w:trPr>
          <w:trHeight w:val="3290"/>
        </w:trPr>
        <w:tc>
          <w:tcPr>
            <w:tcW w:w="580" w:type="dxa"/>
            <w:noWrap/>
            <w:hideMark/>
          </w:tcPr>
          <w:p w14:paraId="5162CD07" w14:textId="77777777" w:rsidR="000E557D" w:rsidRPr="002D58B0" w:rsidRDefault="000E557D" w:rsidP="000E557D">
            <w:pPr>
              <w:shd w:val="clear" w:color="auto" w:fill="FFFFFF"/>
              <w:spacing w:after="120"/>
              <w:rPr>
                <w:rFonts w:cs="Calibri"/>
              </w:rPr>
            </w:pPr>
            <w:r w:rsidRPr="002D58B0">
              <w:rPr>
                <w:rFonts w:cs="Calibri"/>
              </w:rPr>
              <w:lastRenderedPageBreak/>
              <w:t>14</w:t>
            </w:r>
          </w:p>
        </w:tc>
        <w:tc>
          <w:tcPr>
            <w:tcW w:w="5280" w:type="dxa"/>
            <w:hideMark/>
          </w:tcPr>
          <w:p w14:paraId="566077F5" w14:textId="77777777" w:rsidR="000E557D" w:rsidRPr="002D58B0" w:rsidRDefault="000E557D" w:rsidP="000E557D">
            <w:pPr>
              <w:shd w:val="clear" w:color="auto" w:fill="FFFFFF"/>
              <w:spacing w:after="120"/>
              <w:rPr>
                <w:rFonts w:cs="Calibri"/>
                <w:lang w:val="en-GB"/>
              </w:rPr>
            </w:pPr>
            <w:r w:rsidRPr="002D58B0">
              <w:rPr>
                <w:rFonts w:cs="Calibri"/>
                <w:lang w:val="en-GB"/>
              </w:rPr>
              <w:t>The circular economy business models for the ecological transition</w:t>
            </w:r>
          </w:p>
        </w:tc>
        <w:tc>
          <w:tcPr>
            <w:tcW w:w="1380" w:type="dxa"/>
            <w:hideMark/>
          </w:tcPr>
          <w:p w14:paraId="4DE6D9DB" w14:textId="77777777" w:rsidR="000E557D" w:rsidRPr="002D58B0" w:rsidRDefault="000E557D" w:rsidP="000E557D">
            <w:pPr>
              <w:shd w:val="clear" w:color="auto" w:fill="FFFFFF"/>
              <w:spacing w:after="120"/>
              <w:rPr>
                <w:rFonts w:cs="Calibri"/>
              </w:rPr>
            </w:pPr>
            <w:r w:rsidRPr="002D58B0">
              <w:rPr>
                <w:rFonts w:cs="Calibri"/>
              </w:rPr>
              <w:t>10</w:t>
            </w:r>
          </w:p>
        </w:tc>
        <w:tc>
          <w:tcPr>
            <w:tcW w:w="2280" w:type="dxa"/>
            <w:hideMark/>
          </w:tcPr>
          <w:p w14:paraId="2C4076F5" w14:textId="77777777" w:rsidR="000E557D" w:rsidRPr="002D58B0" w:rsidRDefault="000E557D" w:rsidP="000E557D">
            <w:pPr>
              <w:shd w:val="clear" w:color="auto" w:fill="FFFFFF"/>
              <w:spacing w:after="120"/>
              <w:rPr>
                <w:rFonts w:cs="Calibri"/>
              </w:rPr>
            </w:pPr>
            <w:r w:rsidRPr="002D58B0">
              <w:rPr>
                <w:rFonts w:cs="Calibri"/>
              </w:rPr>
              <w:t>2</w:t>
            </w:r>
          </w:p>
        </w:tc>
        <w:tc>
          <w:tcPr>
            <w:tcW w:w="2540" w:type="dxa"/>
            <w:noWrap/>
            <w:hideMark/>
          </w:tcPr>
          <w:p w14:paraId="40206B06" w14:textId="77777777" w:rsidR="000E557D" w:rsidRPr="002D58B0" w:rsidRDefault="000E557D" w:rsidP="000E557D">
            <w:pPr>
              <w:shd w:val="clear" w:color="auto" w:fill="FFFFFF"/>
              <w:spacing w:after="120"/>
              <w:rPr>
                <w:rFonts w:cs="Calibri"/>
              </w:rPr>
            </w:pPr>
            <w:r w:rsidRPr="002D58B0">
              <w:rPr>
                <w:rFonts w:cs="Calibri"/>
              </w:rPr>
              <w:t>terzo anno</w:t>
            </w:r>
          </w:p>
        </w:tc>
        <w:tc>
          <w:tcPr>
            <w:tcW w:w="1760" w:type="dxa"/>
            <w:hideMark/>
          </w:tcPr>
          <w:p w14:paraId="36B68CBD" w14:textId="77777777" w:rsidR="000E557D" w:rsidRPr="002D58B0" w:rsidRDefault="000E557D" w:rsidP="000E557D">
            <w:pPr>
              <w:shd w:val="clear" w:color="auto" w:fill="FFFFFF"/>
              <w:spacing w:after="120"/>
              <w:rPr>
                <w:rFonts w:cs="Calibri"/>
              </w:rPr>
            </w:pPr>
            <w:r w:rsidRPr="002D58B0">
              <w:rPr>
                <w:rFonts w:cs="Calibri"/>
              </w:rPr>
              <w:t>mar-28</w:t>
            </w:r>
          </w:p>
        </w:tc>
        <w:tc>
          <w:tcPr>
            <w:tcW w:w="1640" w:type="dxa"/>
            <w:hideMark/>
          </w:tcPr>
          <w:p w14:paraId="1441F40C"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413C2B7A" w14:textId="77777777" w:rsidR="000E557D" w:rsidRPr="002D58B0" w:rsidRDefault="000E557D" w:rsidP="000E557D">
            <w:pPr>
              <w:shd w:val="clear" w:color="auto" w:fill="FFFFFF"/>
              <w:spacing w:after="120"/>
              <w:rPr>
                <w:rFonts w:cs="Calibri"/>
              </w:rPr>
            </w:pPr>
            <w:r w:rsidRPr="002D58B0">
              <w:rPr>
                <w:rFonts w:cs="Calibri"/>
              </w:rPr>
              <w:t>Il corso è erogato in inglese. La verifica dell'apprendimento raggiunto al termine del corso potrà essere effettuata mediante un test somministrato alla fine del corso o mediante la redazione di una relazione scritta sui temi del modulo o un colloquio sugli argomenti erogati.</w:t>
            </w:r>
          </w:p>
        </w:tc>
        <w:tc>
          <w:tcPr>
            <w:tcW w:w="4020" w:type="dxa"/>
            <w:hideMark/>
          </w:tcPr>
          <w:p w14:paraId="3C5CCD39" w14:textId="77777777" w:rsidR="000E557D" w:rsidRPr="002D58B0" w:rsidRDefault="000E557D" w:rsidP="000E557D">
            <w:pPr>
              <w:shd w:val="clear" w:color="auto" w:fill="FFFFFF"/>
              <w:spacing w:after="120"/>
              <w:rPr>
                <w:rFonts w:cs="Calibri"/>
              </w:rPr>
            </w:pPr>
            <w:r w:rsidRPr="002D58B0">
              <w:rPr>
                <w:rFonts w:cs="Calibri"/>
              </w:rPr>
              <w:t>Prof.ssa Sonia Longo (ING-IND/11), Dip. di Ingegneria, Università di Palermo</w:t>
            </w:r>
          </w:p>
        </w:tc>
        <w:tc>
          <w:tcPr>
            <w:tcW w:w="2940" w:type="dxa"/>
            <w:hideMark/>
          </w:tcPr>
          <w:p w14:paraId="4F39DEBF" w14:textId="77777777" w:rsidR="000E557D" w:rsidRPr="002D58B0" w:rsidRDefault="000E557D" w:rsidP="000E557D">
            <w:pPr>
              <w:shd w:val="clear" w:color="auto" w:fill="FFFFFF"/>
              <w:spacing w:after="120"/>
              <w:rPr>
                <w:rFonts w:cs="Calibri"/>
              </w:rPr>
            </w:pPr>
            <w:r w:rsidRPr="002D58B0">
              <w:rPr>
                <w:rFonts w:cs="Calibri"/>
              </w:rPr>
              <w:t>Dip. di Ingegneria, Università di Palermo</w:t>
            </w:r>
          </w:p>
        </w:tc>
      </w:tr>
      <w:tr w:rsidR="000E557D" w:rsidRPr="00747B86" w14:paraId="768CF2A7" w14:textId="77777777" w:rsidTr="000E557D">
        <w:trPr>
          <w:trHeight w:val="1030"/>
        </w:trPr>
        <w:tc>
          <w:tcPr>
            <w:tcW w:w="29100" w:type="dxa"/>
            <w:gridSpan w:val="10"/>
            <w:hideMark/>
          </w:tcPr>
          <w:p w14:paraId="2EAE7A0C" w14:textId="77777777" w:rsidR="000E557D" w:rsidRPr="002D58B0" w:rsidRDefault="000E557D" w:rsidP="000E557D">
            <w:pPr>
              <w:shd w:val="clear" w:color="auto" w:fill="FFFFFF"/>
              <w:spacing w:after="120"/>
              <w:rPr>
                <w:rFonts w:cs="Calibri"/>
                <w:lang w:val="en-GB"/>
              </w:rPr>
            </w:pPr>
            <w:r w:rsidRPr="002D58B0">
              <w:rPr>
                <w:rFonts w:cs="Calibri"/>
                <w:lang w:val="en-GB"/>
              </w:rPr>
              <w:t xml:space="preserve">Breve </w:t>
            </w:r>
            <w:proofErr w:type="spellStart"/>
            <w:r w:rsidRPr="002D58B0">
              <w:rPr>
                <w:rFonts w:cs="Calibri"/>
                <w:lang w:val="en-GB"/>
              </w:rPr>
              <w:t>descrizione</w:t>
            </w:r>
            <w:proofErr w:type="spellEnd"/>
            <w:r w:rsidRPr="002D58B0">
              <w:rPr>
                <w:rFonts w:cs="Calibri"/>
                <w:lang w:val="en-GB"/>
              </w:rPr>
              <w:t>. The course aims to introduce the concept of the circular economy and to describe the five business models of the circular economy: circular supply chain, recovery and recycling, sharing platform, product life extension, and product-as-a-service. For each model, characteristics, challenges, opportunities, and practical examples will be presented.</w:t>
            </w:r>
          </w:p>
        </w:tc>
      </w:tr>
      <w:tr w:rsidR="000E557D" w:rsidRPr="002D58B0" w14:paraId="562D4A3E" w14:textId="77777777" w:rsidTr="000E557D">
        <w:trPr>
          <w:trHeight w:val="3290"/>
        </w:trPr>
        <w:tc>
          <w:tcPr>
            <w:tcW w:w="580" w:type="dxa"/>
            <w:noWrap/>
            <w:hideMark/>
          </w:tcPr>
          <w:p w14:paraId="1845D7C6" w14:textId="77777777" w:rsidR="000E557D" w:rsidRPr="002D58B0" w:rsidRDefault="000E557D" w:rsidP="000E557D">
            <w:pPr>
              <w:shd w:val="clear" w:color="auto" w:fill="FFFFFF"/>
              <w:spacing w:after="120"/>
              <w:rPr>
                <w:rFonts w:cs="Calibri"/>
              </w:rPr>
            </w:pPr>
            <w:r w:rsidRPr="002D58B0">
              <w:rPr>
                <w:rFonts w:cs="Calibri"/>
              </w:rPr>
              <w:t>15</w:t>
            </w:r>
          </w:p>
        </w:tc>
        <w:tc>
          <w:tcPr>
            <w:tcW w:w="5280" w:type="dxa"/>
            <w:hideMark/>
          </w:tcPr>
          <w:p w14:paraId="4A737802" w14:textId="77777777" w:rsidR="000E557D" w:rsidRPr="002D58B0" w:rsidRDefault="000E557D" w:rsidP="000E557D">
            <w:pPr>
              <w:shd w:val="clear" w:color="auto" w:fill="FFFFFF"/>
              <w:spacing w:after="120"/>
              <w:rPr>
                <w:rFonts w:cs="Calibri"/>
                <w:lang w:val="en-GB"/>
              </w:rPr>
            </w:pPr>
            <w:r w:rsidRPr="002D58B0">
              <w:rPr>
                <w:rFonts w:cs="Calibri"/>
                <w:lang w:val="en-GB"/>
              </w:rPr>
              <w:t>Quality and Sustainability in Healthcare: Key Contexts and Emerging Challenges</w:t>
            </w:r>
          </w:p>
        </w:tc>
        <w:tc>
          <w:tcPr>
            <w:tcW w:w="1380" w:type="dxa"/>
            <w:hideMark/>
          </w:tcPr>
          <w:p w14:paraId="4ACFBD97" w14:textId="77777777" w:rsidR="000E557D" w:rsidRPr="002D58B0" w:rsidRDefault="000E557D" w:rsidP="000E557D">
            <w:pPr>
              <w:shd w:val="clear" w:color="auto" w:fill="FFFFFF"/>
              <w:spacing w:after="120"/>
              <w:rPr>
                <w:rFonts w:cs="Calibri"/>
              </w:rPr>
            </w:pPr>
            <w:r w:rsidRPr="002D58B0">
              <w:rPr>
                <w:rFonts w:cs="Calibri"/>
              </w:rPr>
              <w:t>5</w:t>
            </w:r>
          </w:p>
        </w:tc>
        <w:tc>
          <w:tcPr>
            <w:tcW w:w="2280" w:type="dxa"/>
            <w:hideMark/>
          </w:tcPr>
          <w:p w14:paraId="1EA93408" w14:textId="77777777" w:rsidR="000E557D" w:rsidRPr="002D58B0" w:rsidRDefault="000E557D" w:rsidP="000E557D">
            <w:pPr>
              <w:shd w:val="clear" w:color="auto" w:fill="FFFFFF"/>
              <w:spacing w:after="120"/>
              <w:rPr>
                <w:rFonts w:cs="Calibri"/>
              </w:rPr>
            </w:pPr>
            <w:r w:rsidRPr="002D58B0">
              <w:rPr>
                <w:rFonts w:cs="Calibri"/>
              </w:rPr>
              <w:t>1</w:t>
            </w:r>
          </w:p>
        </w:tc>
        <w:tc>
          <w:tcPr>
            <w:tcW w:w="2540" w:type="dxa"/>
            <w:noWrap/>
            <w:hideMark/>
          </w:tcPr>
          <w:p w14:paraId="5C3DD924" w14:textId="77777777" w:rsidR="000E557D" w:rsidRPr="002D58B0" w:rsidRDefault="000E557D" w:rsidP="000E557D">
            <w:pPr>
              <w:shd w:val="clear" w:color="auto" w:fill="FFFFFF"/>
              <w:spacing w:after="120"/>
              <w:rPr>
                <w:rFonts w:cs="Calibri"/>
              </w:rPr>
            </w:pPr>
            <w:r w:rsidRPr="002D58B0">
              <w:rPr>
                <w:rFonts w:cs="Calibri"/>
              </w:rPr>
              <w:t>terzo anno</w:t>
            </w:r>
          </w:p>
        </w:tc>
        <w:tc>
          <w:tcPr>
            <w:tcW w:w="1760" w:type="dxa"/>
            <w:hideMark/>
          </w:tcPr>
          <w:p w14:paraId="4BC029CC" w14:textId="77777777" w:rsidR="000E557D" w:rsidRPr="002D58B0" w:rsidRDefault="000E557D" w:rsidP="000E557D">
            <w:pPr>
              <w:shd w:val="clear" w:color="auto" w:fill="FFFFFF"/>
              <w:spacing w:after="120"/>
              <w:rPr>
                <w:rFonts w:cs="Calibri"/>
              </w:rPr>
            </w:pPr>
            <w:r w:rsidRPr="002D58B0">
              <w:rPr>
                <w:rFonts w:cs="Calibri"/>
              </w:rPr>
              <w:t>apr-28</w:t>
            </w:r>
          </w:p>
        </w:tc>
        <w:tc>
          <w:tcPr>
            <w:tcW w:w="1640" w:type="dxa"/>
            <w:hideMark/>
          </w:tcPr>
          <w:p w14:paraId="26104A48"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59FE7775" w14:textId="77777777" w:rsidR="000E557D" w:rsidRPr="002D58B0" w:rsidRDefault="000E557D" w:rsidP="000E557D">
            <w:pPr>
              <w:shd w:val="clear" w:color="auto" w:fill="FFFFFF"/>
              <w:spacing w:after="120"/>
              <w:rPr>
                <w:rFonts w:cs="Calibri"/>
              </w:rPr>
            </w:pPr>
            <w:r w:rsidRPr="002D58B0">
              <w:rPr>
                <w:rFonts w:cs="Calibri"/>
              </w:rPr>
              <w:t xml:space="preserve">Il corso è erogato in inglese. La verifica dell'apprendimento raggiunto al termine del corso potrà essere effettuata mediante un test somministrato alla fine del corso o mediante la redazione di una relazione scritta sui temi del modulo o un </w:t>
            </w:r>
            <w:r w:rsidRPr="002D58B0">
              <w:rPr>
                <w:rFonts w:cs="Calibri"/>
              </w:rPr>
              <w:lastRenderedPageBreak/>
              <w:t>colloquio sugli argomenti erogati.</w:t>
            </w:r>
          </w:p>
        </w:tc>
        <w:tc>
          <w:tcPr>
            <w:tcW w:w="4020" w:type="dxa"/>
            <w:hideMark/>
          </w:tcPr>
          <w:p w14:paraId="1239B267" w14:textId="77777777" w:rsidR="000E557D" w:rsidRPr="002D58B0" w:rsidRDefault="000E557D" w:rsidP="000E557D">
            <w:pPr>
              <w:shd w:val="clear" w:color="auto" w:fill="FFFFFF"/>
              <w:spacing w:after="120"/>
              <w:rPr>
                <w:rFonts w:cs="Calibri"/>
              </w:rPr>
            </w:pPr>
            <w:r w:rsidRPr="002D58B0">
              <w:rPr>
                <w:rFonts w:cs="Calibri"/>
              </w:rPr>
              <w:lastRenderedPageBreak/>
              <w:t>Prof.ssa Vera Panzarella (MED/28), Dip. Medicina di Precisione in Area Medica, Chirurgica e Critica/</w:t>
            </w:r>
            <w:proofErr w:type="spellStart"/>
            <w:r w:rsidRPr="002D58B0">
              <w:rPr>
                <w:rFonts w:cs="Calibri"/>
              </w:rPr>
              <w:t>Me.Pre.C.C</w:t>
            </w:r>
            <w:proofErr w:type="spellEnd"/>
            <w:r w:rsidRPr="002D58B0">
              <w:rPr>
                <w:rFonts w:cs="Calibri"/>
              </w:rPr>
              <w:t>.</w:t>
            </w:r>
          </w:p>
        </w:tc>
        <w:tc>
          <w:tcPr>
            <w:tcW w:w="2940" w:type="dxa"/>
            <w:hideMark/>
          </w:tcPr>
          <w:p w14:paraId="4A7DC64D" w14:textId="77777777" w:rsidR="000E557D" w:rsidRPr="002D58B0" w:rsidRDefault="000E557D" w:rsidP="000E557D">
            <w:pPr>
              <w:shd w:val="clear" w:color="auto" w:fill="FFFFFF"/>
              <w:spacing w:after="120"/>
              <w:rPr>
                <w:rFonts w:cs="Calibri"/>
              </w:rPr>
            </w:pPr>
            <w:r w:rsidRPr="002D58B0">
              <w:rPr>
                <w:rFonts w:cs="Calibri"/>
              </w:rPr>
              <w:t>Dip. Medicina di Precisione in Area Medica, Chirurgica e Critica/</w:t>
            </w:r>
            <w:proofErr w:type="spellStart"/>
            <w:r w:rsidRPr="002D58B0">
              <w:rPr>
                <w:rFonts w:cs="Calibri"/>
              </w:rPr>
              <w:t>Me.Pre.C.C</w:t>
            </w:r>
            <w:proofErr w:type="spellEnd"/>
            <w:r w:rsidRPr="002D58B0">
              <w:rPr>
                <w:rFonts w:cs="Calibri"/>
              </w:rPr>
              <w:t>.</w:t>
            </w:r>
          </w:p>
        </w:tc>
      </w:tr>
      <w:tr w:rsidR="000E557D" w:rsidRPr="00747B86" w14:paraId="0D38923C" w14:textId="77777777" w:rsidTr="000E557D">
        <w:trPr>
          <w:trHeight w:val="2940"/>
        </w:trPr>
        <w:tc>
          <w:tcPr>
            <w:tcW w:w="29100" w:type="dxa"/>
            <w:gridSpan w:val="10"/>
            <w:hideMark/>
          </w:tcPr>
          <w:p w14:paraId="2286174C" w14:textId="6C6A4687" w:rsidR="000E557D" w:rsidRPr="002D58B0" w:rsidRDefault="000E557D" w:rsidP="000E557D">
            <w:pPr>
              <w:shd w:val="clear" w:color="auto" w:fill="FFFFFF"/>
              <w:spacing w:after="120"/>
              <w:rPr>
                <w:rFonts w:cs="Calibri"/>
                <w:lang w:val="en-GB"/>
              </w:rPr>
            </w:pPr>
            <w:r w:rsidRPr="002D58B0">
              <w:rPr>
                <w:rFonts w:cs="Calibri"/>
                <w:lang w:val="en-GB"/>
              </w:rPr>
              <w:t xml:space="preserve">Breve </w:t>
            </w:r>
            <w:proofErr w:type="spellStart"/>
            <w:r w:rsidRPr="002D58B0">
              <w:rPr>
                <w:rFonts w:cs="Calibri"/>
                <w:lang w:val="en-GB"/>
              </w:rPr>
              <w:t>descrizione</w:t>
            </w:r>
            <w:proofErr w:type="spellEnd"/>
            <w:r w:rsidRPr="002D58B0">
              <w:rPr>
                <w:rFonts w:cs="Calibri"/>
                <w:lang w:val="en-GB"/>
              </w:rPr>
              <w:t>. In alignment with several objectives of SDG 3 (specifically targets 3.1, 3.4, and 3.5), this course will address the prevention and precise diagnosis of various non-communicable diseases, with a particular focus on the prediction of potential risk factors. For example, oral health is a key indicator of overall health, well-being, and quality of life. It includes a range of diseases and conditions—such as dental caries, periodontal disease, and oral cancer—many of which share modifiable risk factors with major non-communicable diseases like cardiovascular diseases, cancer, chronic respiratory diseases, and diabetes. Students will also be trained in the development and application of appropriate models (e.g., biological networks) capable of representing the complex mechanisms underlying cellular life. Specific case studies will be explored, along with innovative software platforms designed to address related challenges. Special attention will be given to precision medicine and personalized therapies, including the use of decision support systems powered by Artificial Intelligence technologies.</w:t>
            </w:r>
          </w:p>
        </w:tc>
      </w:tr>
      <w:tr w:rsidR="000E557D" w:rsidRPr="002D58B0" w14:paraId="3D1645E3" w14:textId="77777777" w:rsidTr="000E557D">
        <w:trPr>
          <w:trHeight w:val="3290"/>
        </w:trPr>
        <w:tc>
          <w:tcPr>
            <w:tcW w:w="580" w:type="dxa"/>
            <w:noWrap/>
            <w:hideMark/>
          </w:tcPr>
          <w:p w14:paraId="4E4EB02F" w14:textId="77777777" w:rsidR="000E557D" w:rsidRPr="002D58B0" w:rsidRDefault="000E557D" w:rsidP="000E557D">
            <w:pPr>
              <w:shd w:val="clear" w:color="auto" w:fill="FFFFFF"/>
              <w:spacing w:after="120"/>
              <w:rPr>
                <w:rFonts w:cs="Calibri"/>
              </w:rPr>
            </w:pPr>
            <w:r w:rsidRPr="002D58B0">
              <w:rPr>
                <w:rFonts w:cs="Calibri"/>
              </w:rPr>
              <w:t>16</w:t>
            </w:r>
          </w:p>
        </w:tc>
        <w:tc>
          <w:tcPr>
            <w:tcW w:w="5280" w:type="dxa"/>
            <w:hideMark/>
          </w:tcPr>
          <w:p w14:paraId="3BC9D13E" w14:textId="77777777" w:rsidR="000E557D" w:rsidRPr="002D58B0" w:rsidRDefault="000E557D" w:rsidP="000E557D">
            <w:pPr>
              <w:shd w:val="clear" w:color="auto" w:fill="FFFFFF"/>
              <w:spacing w:after="120"/>
              <w:rPr>
                <w:rFonts w:cs="Calibri"/>
                <w:lang w:val="en-GB"/>
              </w:rPr>
            </w:pPr>
            <w:r w:rsidRPr="002D58B0">
              <w:rPr>
                <w:rFonts w:cs="Calibri"/>
                <w:lang w:val="en-GB"/>
              </w:rPr>
              <w:t>Multi-criteria methodologies for sustainability analysis of energy technologies to support the transition</w:t>
            </w:r>
          </w:p>
        </w:tc>
        <w:tc>
          <w:tcPr>
            <w:tcW w:w="1380" w:type="dxa"/>
            <w:hideMark/>
          </w:tcPr>
          <w:p w14:paraId="486D0D04" w14:textId="77777777" w:rsidR="000E557D" w:rsidRPr="002D58B0" w:rsidRDefault="000E557D" w:rsidP="000E557D">
            <w:pPr>
              <w:shd w:val="clear" w:color="auto" w:fill="FFFFFF"/>
              <w:spacing w:after="120"/>
              <w:rPr>
                <w:rFonts w:cs="Calibri"/>
              </w:rPr>
            </w:pPr>
            <w:r w:rsidRPr="002D58B0">
              <w:rPr>
                <w:rFonts w:cs="Calibri"/>
              </w:rPr>
              <w:t>5</w:t>
            </w:r>
          </w:p>
        </w:tc>
        <w:tc>
          <w:tcPr>
            <w:tcW w:w="2280" w:type="dxa"/>
            <w:hideMark/>
          </w:tcPr>
          <w:p w14:paraId="1A9935F6" w14:textId="77777777" w:rsidR="000E557D" w:rsidRPr="002D58B0" w:rsidRDefault="000E557D" w:rsidP="000E557D">
            <w:pPr>
              <w:shd w:val="clear" w:color="auto" w:fill="FFFFFF"/>
              <w:spacing w:after="120"/>
              <w:rPr>
                <w:rFonts w:cs="Calibri"/>
              </w:rPr>
            </w:pPr>
            <w:r w:rsidRPr="002D58B0">
              <w:rPr>
                <w:rFonts w:cs="Calibri"/>
              </w:rPr>
              <w:t>1</w:t>
            </w:r>
          </w:p>
        </w:tc>
        <w:tc>
          <w:tcPr>
            <w:tcW w:w="2540" w:type="dxa"/>
            <w:noWrap/>
            <w:hideMark/>
          </w:tcPr>
          <w:p w14:paraId="02B7DA3D" w14:textId="77777777" w:rsidR="000E557D" w:rsidRPr="002D58B0" w:rsidRDefault="000E557D" w:rsidP="000E557D">
            <w:pPr>
              <w:shd w:val="clear" w:color="auto" w:fill="FFFFFF"/>
              <w:spacing w:after="120"/>
              <w:rPr>
                <w:rFonts w:cs="Calibri"/>
              </w:rPr>
            </w:pPr>
            <w:r w:rsidRPr="002D58B0">
              <w:rPr>
                <w:rFonts w:cs="Calibri"/>
              </w:rPr>
              <w:t>terzo anno</w:t>
            </w:r>
          </w:p>
        </w:tc>
        <w:tc>
          <w:tcPr>
            <w:tcW w:w="1760" w:type="dxa"/>
            <w:hideMark/>
          </w:tcPr>
          <w:p w14:paraId="623C0EA8" w14:textId="77777777" w:rsidR="000E557D" w:rsidRPr="002D58B0" w:rsidRDefault="000E557D" w:rsidP="000E557D">
            <w:pPr>
              <w:shd w:val="clear" w:color="auto" w:fill="FFFFFF"/>
              <w:spacing w:after="120"/>
              <w:rPr>
                <w:rFonts w:cs="Calibri"/>
              </w:rPr>
            </w:pPr>
            <w:r w:rsidRPr="002D58B0">
              <w:rPr>
                <w:rFonts w:cs="Calibri"/>
              </w:rPr>
              <w:t>apr-28</w:t>
            </w:r>
          </w:p>
        </w:tc>
        <w:tc>
          <w:tcPr>
            <w:tcW w:w="1640" w:type="dxa"/>
            <w:hideMark/>
          </w:tcPr>
          <w:p w14:paraId="350B1B3A" w14:textId="77777777" w:rsidR="000E557D" w:rsidRPr="002D58B0" w:rsidRDefault="000E557D" w:rsidP="000E557D">
            <w:pPr>
              <w:shd w:val="clear" w:color="auto" w:fill="FFFFFF"/>
              <w:spacing w:after="120"/>
              <w:rPr>
                <w:rFonts w:cs="Calibri"/>
              </w:rPr>
            </w:pPr>
            <w:r w:rsidRPr="002D58B0">
              <w:rPr>
                <w:rFonts w:cs="Calibri"/>
              </w:rPr>
              <w:t>si</w:t>
            </w:r>
          </w:p>
        </w:tc>
        <w:tc>
          <w:tcPr>
            <w:tcW w:w="6680" w:type="dxa"/>
            <w:hideMark/>
          </w:tcPr>
          <w:p w14:paraId="06204289" w14:textId="77777777" w:rsidR="000E557D" w:rsidRPr="002D58B0" w:rsidRDefault="000E557D" w:rsidP="000E557D">
            <w:pPr>
              <w:shd w:val="clear" w:color="auto" w:fill="FFFFFF"/>
              <w:spacing w:after="120"/>
              <w:rPr>
                <w:rFonts w:cs="Calibri"/>
              </w:rPr>
            </w:pPr>
            <w:r w:rsidRPr="002D58B0">
              <w:rPr>
                <w:rFonts w:cs="Calibri"/>
              </w:rPr>
              <w:t xml:space="preserve">Il corso è erogato in inglese. La verifica dell'apprendimento raggiunto al termine del corso potrà essere effettuata mediante un test somministrato alla fine del corso o mediante la redazione di una relazione scritta sui temi del modulo o un </w:t>
            </w:r>
            <w:r w:rsidRPr="002D58B0">
              <w:rPr>
                <w:rFonts w:cs="Calibri"/>
              </w:rPr>
              <w:lastRenderedPageBreak/>
              <w:t>colloquio sugli argomenti erogati.</w:t>
            </w:r>
          </w:p>
        </w:tc>
        <w:tc>
          <w:tcPr>
            <w:tcW w:w="4020" w:type="dxa"/>
            <w:hideMark/>
          </w:tcPr>
          <w:p w14:paraId="1EA539AB" w14:textId="77777777" w:rsidR="000E557D" w:rsidRPr="002D58B0" w:rsidRDefault="000E557D" w:rsidP="000E557D">
            <w:pPr>
              <w:shd w:val="clear" w:color="auto" w:fill="FFFFFF"/>
              <w:spacing w:after="120"/>
              <w:rPr>
                <w:rFonts w:cs="Calibri"/>
              </w:rPr>
            </w:pPr>
            <w:r w:rsidRPr="002D58B0">
              <w:rPr>
                <w:rFonts w:cs="Calibri"/>
              </w:rPr>
              <w:lastRenderedPageBreak/>
              <w:t xml:space="preserve">Dott. Marco Ferraro, </w:t>
            </w:r>
            <w:proofErr w:type="spellStart"/>
            <w:r w:rsidRPr="002D58B0">
              <w:rPr>
                <w:rFonts w:cs="Calibri"/>
              </w:rPr>
              <w:t>Ricecatore</w:t>
            </w:r>
            <w:proofErr w:type="spellEnd"/>
            <w:r w:rsidRPr="002D58B0">
              <w:rPr>
                <w:rFonts w:cs="Calibri"/>
              </w:rPr>
              <w:t xml:space="preserve"> II Livello CNR, Istituto di Tecnologie Avanzate per l'Energia "Nicola Giordano"</w:t>
            </w:r>
          </w:p>
        </w:tc>
        <w:tc>
          <w:tcPr>
            <w:tcW w:w="2940" w:type="dxa"/>
            <w:hideMark/>
          </w:tcPr>
          <w:p w14:paraId="43A21BEE" w14:textId="77777777" w:rsidR="000E557D" w:rsidRPr="002D58B0" w:rsidRDefault="000E557D" w:rsidP="000E557D">
            <w:pPr>
              <w:shd w:val="clear" w:color="auto" w:fill="FFFFFF"/>
              <w:spacing w:after="120"/>
              <w:rPr>
                <w:rFonts w:cs="Calibri"/>
              </w:rPr>
            </w:pPr>
            <w:r w:rsidRPr="002D58B0">
              <w:rPr>
                <w:rFonts w:cs="Calibri"/>
              </w:rPr>
              <w:t>Dip. di Ingegneria, Università di Palermo</w:t>
            </w:r>
          </w:p>
        </w:tc>
      </w:tr>
      <w:tr w:rsidR="000E557D" w:rsidRPr="00747B86" w14:paraId="5412C2E7" w14:textId="77777777" w:rsidTr="000E557D">
        <w:trPr>
          <w:trHeight w:val="1380"/>
        </w:trPr>
        <w:tc>
          <w:tcPr>
            <w:tcW w:w="29100" w:type="dxa"/>
            <w:gridSpan w:val="10"/>
            <w:hideMark/>
          </w:tcPr>
          <w:p w14:paraId="1A83F9CC" w14:textId="77777777" w:rsidR="000E557D" w:rsidRPr="002D58B0" w:rsidRDefault="000E557D" w:rsidP="000E557D">
            <w:pPr>
              <w:shd w:val="clear" w:color="auto" w:fill="FFFFFF"/>
              <w:spacing w:after="120"/>
              <w:rPr>
                <w:rFonts w:cs="Calibri"/>
                <w:lang w:val="en-GB"/>
              </w:rPr>
            </w:pPr>
            <w:r w:rsidRPr="002D58B0">
              <w:rPr>
                <w:rFonts w:cs="Calibri"/>
                <w:lang w:val="en-GB"/>
              </w:rPr>
              <w:t xml:space="preserve">Breve </w:t>
            </w:r>
            <w:proofErr w:type="spellStart"/>
            <w:r w:rsidRPr="002D58B0">
              <w:rPr>
                <w:rFonts w:cs="Calibri"/>
                <w:lang w:val="en-GB"/>
              </w:rPr>
              <w:t>descrizione</w:t>
            </w:r>
            <w:proofErr w:type="spellEnd"/>
            <w:r w:rsidRPr="002D58B0">
              <w:rPr>
                <w:rFonts w:cs="Calibri"/>
                <w:lang w:val="en-GB"/>
              </w:rPr>
              <w:t xml:space="preserve">. The course aims to provide useful tools for the multi-criteria sustainability assessment (technical, economic, environmental and social) of energy technologies and to support decisions in the planning phase of policies to support the energy transition. Through an interactive path, the local and global impacts deriving from the adoption of energy technologies enabling the transition will be </w:t>
            </w:r>
            <w:proofErr w:type="spellStart"/>
            <w:r w:rsidRPr="002D58B0">
              <w:rPr>
                <w:rFonts w:cs="Calibri"/>
                <w:lang w:val="en-GB"/>
              </w:rPr>
              <w:t>analyzed</w:t>
            </w:r>
            <w:proofErr w:type="spellEnd"/>
            <w:r w:rsidRPr="002D58B0">
              <w:rPr>
                <w:rFonts w:cs="Calibri"/>
                <w:lang w:val="en-GB"/>
              </w:rPr>
              <w:t xml:space="preserve"> through specific case studies.</w:t>
            </w:r>
          </w:p>
        </w:tc>
      </w:tr>
    </w:tbl>
    <w:p w14:paraId="16A13465" w14:textId="77777777" w:rsidR="00E83924" w:rsidRPr="00696420" w:rsidRDefault="00E83924" w:rsidP="00E83924">
      <w:pPr>
        <w:shd w:val="clear" w:color="auto" w:fill="FFFFFF"/>
        <w:spacing w:after="120"/>
        <w:rPr>
          <w:rFonts w:cs="Calibri"/>
          <w:lang w:val="en-GB"/>
        </w:rPr>
      </w:pPr>
    </w:p>
    <w:p w14:paraId="4163B812" w14:textId="77777777" w:rsidR="00E83924" w:rsidRPr="0071593C" w:rsidRDefault="00E83924" w:rsidP="00E83924">
      <w:pPr>
        <w:shd w:val="clear" w:color="auto" w:fill="FFFFFF"/>
        <w:spacing w:after="120"/>
        <w:rPr>
          <w:rFonts w:cs="Calibri"/>
          <w:b/>
          <w:bCs/>
        </w:rPr>
      </w:pPr>
      <w:r w:rsidRPr="00B474F5">
        <w:rPr>
          <w:rFonts w:cs="Calibri"/>
          <w:b/>
          <w:bCs/>
        </w:rPr>
        <w:t>Tabella 3. Laboratori linguistici per Dottorandi organizzati dal Centro Linguistico di Ateneo (CLA)</w:t>
      </w:r>
    </w:p>
    <w:tbl>
      <w:tblPr>
        <w:tblStyle w:val="Grigliatabella"/>
        <w:tblW w:w="0" w:type="auto"/>
        <w:tblLook w:val="04A0" w:firstRow="1" w:lastRow="0" w:firstColumn="1" w:lastColumn="0" w:noHBand="0" w:noVBand="1"/>
      </w:tblPr>
      <w:tblGrid>
        <w:gridCol w:w="2672"/>
        <w:gridCol w:w="1320"/>
        <w:gridCol w:w="3936"/>
      </w:tblGrid>
      <w:tr w:rsidR="00E83924" w:rsidRPr="00916A4F" w14:paraId="4BEF0A79" w14:textId="77777777" w:rsidTr="00FE7C58">
        <w:tc>
          <w:tcPr>
            <w:tcW w:w="3209" w:type="dxa"/>
          </w:tcPr>
          <w:p w14:paraId="299958EA" w14:textId="77777777" w:rsidR="00E83924" w:rsidRPr="00916A4F" w:rsidRDefault="00E83924" w:rsidP="00FE7C58">
            <w:pPr>
              <w:spacing w:after="120"/>
              <w:rPr>
                <w:rFonts w:cstheme="minorHAnsi"/>
                <w:sz w:val="22"/>
                <w:szCs w:val="22"/>
              </w:rPr>
            </w:pPr>
            <w:r w:rsidRPr="00916A4F">
              <w:rPr>
                <w:rStyle w:val="Enfasigrassetto"/>
                <w:rFonts w:cstheme="minorHAnsi"/>
                <w:color w:val="333333"/>
                <w:sz w:val="22"/>
                <w:szCs w:val="22"/>
              </w:rPr>
              <w:t>Tipologia corso</w:t>
            </w:r>
          </w:p>
        </w:tc>
        <w:tc>
          <w:tcPr>
            <w:tcW w:w="1464" w:type="dxa"/>
          </w:tcPr>
          <w:p w14:paraId="7AF4E2B2" w14:textId="77777777" w:rsidR="00E83924" w:rsidRPr="00916A4F" w:rsidRDefault="00E83924" w:rsidP="00FE7C58">
            <w:pPr>
              <w:spacing w:after="120"/>
              <w:rPr>
                <w:rFonts w:cstheme="minorHAnsi"/>
                <w:sz w:val="22"/>
                <w:szCs w:val="22"/>
              </w:rPr>
            </w:pPr>
            <w:r w:rsidRPr="00916A4F">
              <w:rPr>
                <w:rStyle w:val="Enfasigrassetto"/>
                <w:rFonts w:cstheme="minorHAnsi"/>
                <w:color w:val="333333"/>
                <w:sz w:val="22"/>
                <w:szCs w:val="22"/>
              </w:rPr>
              <w:t>Periodo</w:t>
            </w:r>
          </w:p>
        </w:tc>
        <w:tc>
          <w:tcPr>
            <w:tcW w:w="4955" w:type="dxa"/>
          </w:tcPr>
          <w:p w14:paraId="1FA9B0C4" w14:textId="77777777" w:rsidR="00E83924" w:rsidRPr="00916A4F" w:rsidRDefault="00E83924" w:rsidP="00FE7C58">
            <w:pPr>
              <w:spacing w:after="120"/>
              <w:rPr>
                <w:rFonts w:cstheme="minorHAnsi"/>
                <w:sz w:val="22"/>
                <w:szCs w:val="22"/>
              </w:rPr>
            </w:pPr>
            <w:r w:rsidRPr="00916A4F">
              <w:rPr>
                <w:rStyle w:val="Enfasigrassetto"/>
                <w:rFonts w:cstheme="minorHAnsi"/>
                <w:color w:val="333333"/>
                <w:sz w:val="22"/>
                <w:szCs w:val="22"/>
              </w:rPr>
              <w:t>D</w:t>
            </w:r>
            <w:r w:rsidRPr="00916A4F">
              <w:rPr>
                <w:rStyle w:val="Enfasigrassetto"/>
                <w:rFonts w:cstheme="minorHAnsi"/>
                <w:sz w:val="22"/>
                <w:szCs w:val="22"/>
              </w:rPr>
              <w:t>escrizione</w:t>
            </w:r>
          </w:p>
        </w:tc>
      </w:tr>
      <w:tr w:rsidR="00E83924" w:rsidRPr="00916A4F" w14:paraId="76A0FF20" w14:textId="77777777" w:rsidTr="00FE7C58">
        <w:tc>
          <w:tcPr>
            <w:tcW w:w="3209" w:type="dxa"/>
          </w:tcPr>
          <w:p w14:paraId="2C71916F" w14:textId="77777777" w:rsidR="00E83924" w:rsidRPr="00C754A8" w:rsidRDefault="00E83924" w:rsidP="00FE7C58">
            <w:pPr>
              <w:pStyle w:val="tableparagraph0"/>
              <w:spacing w:before="0" w:beforeAutospacing="0" w:after="150" w:afterAutospacing="0"/>
              <w:rPr>
                <w:rFonts w:asciiTheme="minorHAnsi" w:hAnsiTheme="minorHAnsi" w:cstheme="minorHAnsi"/>
                <w:sz w:val="20"/>
                <w:szCs w:val="20"/>
              </w:rPr>
            </w:pPr>
            <w:r w:rsidRPr="00C754A8">
              <w:rPr>
                <w:rFonts w:asciiTheme="minorHAnsi" w:hAnsiTheme="minorHAnsi" w:cstheme="minorHAnsi"/>
                <w:color w:val="333333"/>
                <w:sz w:val="20"/>
                <w:szCs w:val="20"/>
              </w:rPr>
              <w:t>Francese B1/B2-40 ore</w:t>
            </w:r>
          </w:p>
        </w:tc>
        <w:tc>
          <w:tcPr>
            <w:tcW w:w="1464" w:type="dxa"/>
          </w:tcPr>
          <w:p w14:paraId="1BE5221F" w14:textId="77777777" w:rsidR="00E83924" w:rsidRPr="00C754A8" w:rsidRDefault="00E83924" w:rsidP="00FE7C58">
            <w:pPr>
              <w:spacing w:after="120"/>
              <w:rPr>
                <w:rFonts w:cstheme="minorHAnsi"/>
                <w:sz w:val="20"/>
                <w:szCs w:val="20"/>
              </w:rPr>
            </w:pPr>
            <w:proofErr w:type="gramStart"/>
            <w:r w:rsidRPr="00C754A8">
              <w:rPr>
                <w:rFonts w:cstheme="minorHAnsi"/>
                <w:color w:val="333333"/>
                <w:sz w:val="20"/>
                <w:szCs w:val="20"/>
              </w:rPr>
              <w:t>II</w:t>
            </w:r>
            <w:proofErr w:type="gramEnd"/>
            <w:r w:rsidRPr="00C754A8">
              <w:rPr>
                <w:rFonts w:cstheme="minorHAnsi"/>
                <w:color w:val="333333"/>
                <w:sz w:val="20"/>
                <w:szCs w:val="20"/>
              </w:rPr>
              <w:t xml:space="preserve"> semestre</w:t>
            </w:r>
          </w:p>
        </w:tc>
        <w:tc>
          <w:tcPr>
            <w:tcW w:w="4955" w:type="dxa"/>
          </w:tcPr>
          <w:p w14:paraId="405ACE16" w14:textId="77777777" w:rsidR="00E83924" w:rsidRPr="00C754A8" w:rsidRDefault="00E83924" w:rsidP="00FE7C58">
            <w:pPr>
              <w:spacing w:after="120"/>
              <w:rPr>
                <w:rFonts w:cstheme="minorHAnsi"/>
                <w:sz w:val="20"/>
                <w:szCs w:val="20"/>
              </w:rPr>
            </w:pPr>
            <w:r w:rsidRPr="00C754A8">
              <w:rPr>
                <w:rFonts w:cstheme="minorHAnsi"/>
                <w:color w:val="333333"/>
                <w:sz w:val="20"/>
                <w:szCs w:val="20"/>
                <w:shd w:val="clear" w:color="auto" w:fill="FFFFFF"/>
              </w:rPr>
              <w:t xml:space="preserve">Livello B1 di lingua francese - abilità di </w:t>
            </w:r>
            <w:proofErr w:type="spellStart"/>
            <w:r w:rsidRPr="00527503">
              <w:rPr>
                <w:rFonts w:cstheme="minorHAnsi"/>
                <w:i/>
                <w:iCs/>
                <w:color w:val="333333"/>
                <w:sz w:val="20"/>
                <w:szCs w:val="20"/>
                <w:shd w:val="clear" w:color="auto" w:fill="FFFFFF"/>
              </w:rPr>
              <w:t>listening</w:t>
            </w:r>
            <w:proofErr w:type="spellEnd"/>
            <w:r w:rsidRPr="00527503">
              <w:rPr>
                <w:rFonts w:cstheme="minorHAnsi"/>
                <w:i/>
                <w:iCs/>
                <w:color w:val="333333"/>
                <w:sz w:val="20"/>
                <w:szCs w:val="20"/>
                <w:shd w:val="clear" w:color="auto" w:fill="FFFFFF"/>
              </w:rPr>
              <w:t xml:space="preserve">, reading, writing </w:t>
            </w:r>
            <w:r w:rsidRPr="00527503">
              <w:rPr>
                <w:rFonts w:cstheme="minorHAnsi"/>
                <w:color w:val="333333"/>
                <w:sz w:val="20"/>
                <w:szCs w:val="20"/>
                <w:shd w:val="clear" w:color="auto" w:fill="FFFFFF"/>
              </w:rPr>
              <w:t xml:space="preserve">e </w:t>
            </w:r>
            <w:proofErr w:type="spellStart"/>
            <w:r w:rsidRPr="00527503">
              <w:rPr>
                <w:rFonts w:cstheme="minorHAnsi"/>
                <w:i/>
                <w:iCs/>
                <w:color w:val="333333"/>
                <w:sz w:val="20"/>
                <w:szCs w:val="20"/>
                <w:shd w:val="clear" w:color="auto" w:fill="FFFFFF"/>
              </w:rPr>
              <w:t>speakin</w:t>
            </w:r>
            <w:r w:rsidRPr="00C754A8">
              <w:rPr>
                <w:rFonts w:cstheme="minorHAnsi"/>
                <w:color w:val="333333"/>
                <w:sz w:val="20"/>
                <w:szCs w:val="20"/>
                <w:shd w:val="clear" w:color="auto" w:fill="FFFFFF"/>
              </w:rPr>
              <w:t>g</w:t>
            </w:r>
            <w:proofErr w:type="spellEnd"/>
          </w:p>
        </w:tc>
      </w:tr>
      <w:tr w:rsidR="00E83924" w:rsidRPr="00916A4F" w14:paraId="1C66729D" w14:textId="77777777" w:rsidTr="00FE7C58">
        <w:tc>
          <w:tcPr>
            <w:tcW w:w="3209" w:type="dxa"/>
          </w:tcPr>
          <w:p w14:paraId="1968665D" w14:textId="77777777" w:rsidR="00E83924" w:rsidRPr="00C754A8" w:rsidRDefault="00E83924" w:rsidP="00FE7C58">
            <w:pPr>
              <w:pStyle w:val="tableparagraph0"/>
              <w:spacing w:before="0" w:beforeAutospacing="0" w:after="150" w:afterAutospacing="0"/>
              <w:rPr>
                <w:rFonts w:asciiTheme="minorHAnsi" w:hAnsiTheme="minorHAnsi" w:cstheme="minorHAnsi"/>
                <w:sz w:val="20"/>
                <w:szCs w:val="20"/>
              </w:rPr>
            </w:pPr>
            <w:r w:rsidRPr="00C754A8">
              <w:rPr>
                <w:rFonts w:asciiTheme="minorHAnsi" w:hAnsiTheme="minorHAnsi" w:cstheme="minorHAnsi"/>
                <w:color w:val="333333"/>
                <w:sz w:val="20"/>
                <w:szCs w:val="20"/>
              </w:rPr>
              <w:t>Spagnolo B1/B2-30 ore</w:t>
            </w:r>
          </w:p>
        </w:tc>
        <w:tc>
          <w:tcPr>
            <w:tcW w:w="1464" w:type="dxa"/>
          </w:tcPr>
          <w:p w14:paraId="552BBB73" w14:textId="77777777" w:rsidR="00E83924" w:rsidRPr="00C754A8" w:rsidRDefault="00E83924" w:rsidP="00FE7C58">
            <w:pPr>
              <w:spacing w:after="120"/>
              <w:rPr>
                <w:rFonts w:cstheme="minorHAnsi"/>
                <w:sz w:val="20"/>
                <w:szCs w:val="20"/>
              </w:rPr>
            </w:pPr>
            <w:proofErr w:type="gramStart"/>
            <w:r w:rsidRPr="00C754A8">
              <w:rPr>
                <w:rFonts w:cstheme="minorHAnsi"/>
                <w:color w:val="333333"/>
                <w:sz w:val="20"/>
                <w:szCs w:val="20"/>
              </w:rPr>
              <w:t>II</w:t>
            </w:r>
            <w:proofErr w:type="gramEnd"/>
            <w:r w:rsidRPr="00C754A8">
              <w:rPr>
                <w:rFonts w:cstheme="minorHAnsi"/>
                <w:color w:val="333333"/>
                <w:sz w:val="20"/>
                <w:szCs w:val="20"/>
              </w:rPr>
              <w:t xml:space="preserve"> semestre</w:t>
            </w:r>
          </w:p>
        </w:tc>
        <w:tc>
          <w:tcPr>
            <w:tcW w:w="4955" w:type="dxa"/>
          </w:tcPr>
          <w:p w14:paraId="09C3176D" w14:textId="77777777" w:rsidR="00E83924" w:rsidRPr="00C754A8" w:rsidRDefault="00E83924" w:rsidP="00FE7C58">
            <w:pPr>
              <w:spacing w:after="120"/>
              <w:rPr>
                <w:rFonts w:cstheme="minorHAnsi"/>
                <w:sz w:val="20"/>
                <w:szCs w:val="20"/>
              </w:rPr>
            </w:pPr>
            <w:r w:rsidRPr="00C754A8">
              <w:rPr>
                <w:rFonts w:cstheme="minorHAnsi"/>
                <w:color w:val="333333"/>
                <w:sz w:val="20"/>
                <w:szCs w:val="20"/>
                <w:shd w:val="clear" w:color="auto" w:fill="FFFFFF"/>
              </w:rPr>
              <w:t xml:space="preserve">Livello B1 di lingua spagnola - abilità di </w:t>
            </w:r>
            <w:proofErr w:type="spellStart"/>
            <w:r w:rsidRPr="00527503">
              <w:rPr>
                <w:rFonts w:cstheme="minorHAnsi"/>
                <w:i/>
                <w:iCs/>
                <w:color w:val="333333"/>
                <w:sz w:val="20"/>
                <w:szCs w:val="20"/>
                <w:shd w:val="clear" w:color="auto" w:fill="FFFFFF"/>
              </w:rPr>
              <w:t>listening</w:t>
            </w:r>
            <w:proofErr w:type="spellEnd"/>
            <w:r w:rsidRPr="00527503">
              <w:rPr>
                <w:rFonts w:cstheme="minorHAnsi"/>
                <w:i/>
                <w:iCs/>
                <w:color w:val="333333"/>
                <w:sz w:val="20"/>
                <w:szCs w:val="20"/>
                <w:shd w:val="clear" w:color="auto" w:fill="FFFFFF"/>
              </w:rPr>
              <w:t xml:space="preserve">, reading, writing </w:t>
            </w:r>
            <w:r w:rsidRPr="00527503">
              <w:rPr>
                <w:rFonts w:cstheme="minorHAnsi"/>
                <w:color w:val="333333"/>
                <w:sz w:val="20"/>
                <w:szCs w:val="20"/>
                <w:shd w:val="clear" w:color="auto" w:fill="FFFFFF"/>
              </w:rPr>
              <w:t xml:space="preserve">e </w:t>
            </w:r>
            <w:proofErr w:type="spellStart"/>
            <w:r w:rsidRPr="00527503">
              <w:rPr>
                <w:rFonts w:cstheme="minorHAnsi"/>
                <w:i/>
                <w:iCs/>
                <w:color w:val="333333"/>
                <w:sz w:val="20"/>
                <w:szCs w:val="20"/>
                <w:shd w:val="clear" w:color="auto" w:fill="FFFFFF"/>
              </w:rPr>
              <w:t>speaking</w:t>
            </w:r>
            <w:proofErr w:type="spellEnd"/>
          </w:p>
        </w:tc>
      </w:tr>
      <w:tr w:rsidR="00E83924" w:rsidRPr="00916A4F" w14:paraId="5BF2DCCB" w14:textId="77777777" w:rsidTr="00FE7C58">
        <w:tc>
          <w:tcPr>
            <w:tcW w:w="3209" w:type="dxa"/>
          </w:tcPr>
          <w:p w14:paraId="2147A57D" w14:textId="77777777" w:rsidR="00E83924" w:rsidRPr="00C754A8" w:rsidRDefault="00E83924" w:rsidP="00FE7C58">
            <w:pPr>
              <w:pStyle w:val="NormaleWeb"/>
              <w:spacing w:before="0" w:beforeAutospacing="0" w:after="150" w:afterAutospacing="0"/>
              <w:rPr>
                <w:rFonts w:asciiTheme="minorHAnsi" w:hAnsiTheme="minorHAnsi" w:cstheme="minorHAnsi"/>
                <w:sz w:val="20"/>
                <w:szCs w:val="20"/>
              </w:rPr>
            </w:pPr>
            <w:r w:rsidRPr="00C754A8">
              <w:rPr>
                <w:rFonts w:asciiTheme="minorHAnsi" w:hAnsiTheme="minorHAnsi" w:cstheme="minorHAnsi"/>
                <w:color w:val="333333"/>
                <w:sz w:val="20"/>
                <w:szCs w:val="20"/>
              </w:rPr>
              <w:t xml:space="preserve">Spagnolo Corso di preparazione </w:t>
            </w:r>
            <w:hyperlink r:id="rId8" w:history="1">
              <w:r w:rsidRPr="00C754A8">
                <w:rPr>
                  <w:rStyle w:val="Collegamentoipertestuale"/>
                  <w:rFonts w:asciiTheme="minorHAnsi" w:hAnsiTheme="minorHAnsi" w:cstheme="minorHAnsi"/>
                  <w:color w:val="315572"/>
                  <w:sz w:val="20"/>
                  <w:szCs w:val="20"/>
                </w:rPr>
                <w:t>Open Badge</w:t>
              </w:r>
            </w:hyperlink>
            <w:r w:rsidRPr="00C754A8">
              <w:rPr>
                <w:rFonts w:asciiTheme="minorHAnsi" w:hAnsiTheme="minorHAnsi" w:cstheme="minorHAnsi"/>
                <w:color w:val="333333"/>
                <w:sz w:val="20"/>
                <w:szCs w:val="20"/>
              </w:rPr>
              <w:t xml:space="preserve"> B2/C1-20 ore</w:t>
            </w:r>
          </w:p>
        </w:tc>
        <w:tc>
          <w:tcPr>
            <w:tcW w:w="1464" w:type="dxa"/>
          </w:tcPr>
          <w:p w14:paraId="54A46594" w14:textId="77777777" w:rsidR="00E83924" w:rsidRPr="00C754A8" w:rsidRDefault="00E83924" w:rsidP="00FE7C58">
            <w:pPr>
              <w:spacing w:after="120"/>
              <w:rPr>
                <w:rFonts w:cstheme="minorHAnsi"/>
                <w:sz w:val="20"/>
                <w:szCs w:val="20"/>
              </w:rPr>
            </w:pPr>
            <w:proofErr w:type="gramStart"/>
            <w:r w:rsidRPr="00C754A8">
              <w:rPr>
                <w:rFonts w:cstheme="minorHAnsi"/>
                <w:color w:val="333333"/>
                <w:sz w:val="20"/>
                <w:szCs w:val="20"/>
              </w:rPr>
              <w:t>II</w:t>
            </w:r>
            <w:proofErr w:type="gramEnd"/>
            <w:r w:rsidRPr="00C754A8">
              <w:rPr>
                <w:rFonts w:cstheme="minorHAnsi"/>
                <w:color w:val="333333"/>
                <w:sz w:val="20"/>
                <w:szCs w:val="20"/>
              </w:rPr>
              <w:t xml:space="preserve"> semestre</w:t>
            </w:r>
          </w:p>
        </w:tc>
        <w:tc>
          <w:tcPr>
            <w:tcW w:w="4955" w:type="dxa"/>
          </w:tcPr>
          <w:p w14:paraId="41D9CF4F" w14:textId="77777777" w:rsidR="00E83924" w:rsidRPr="00C754A8" w:rsidRDefault="00E83924" w:rsidP="00FE7C58">
            <w:pPr>
              <w:spacing w:after="120"/>
              <w:rPr>
                <w:rFonts w:cstheme="minorHAnsi"/>
                <w:sz w:val="20"/>
                <w:szCs w:val="20"/>
              </w:rPr>
            </w:pPr>
            <w:r w:rsidRPr="00C754A8">
              <w:rPr>
                <w:rFonts w:cstheme="minorHAnsi"/>
                <w:color w:val="333333"/>
                <w:sz w:val="20"/>
                <w:szCs w:val="20"/>
                <w:shd w:val="clear" w:color="auto" w:fill="FFFFFF"/>
              </w:rPr>
              <w:t xml:space="preserve">Livello B2 di lingua spagnola - abilità di </w:t>
            </w:r>
            <w:proofErr w:type="spellStart"/>
            <w:r w:rsidRPr="00527503">
              <w:rPr>
                <w:rFonts w:cstheme="minorHAnsi"/>
                <w:i/>
                <w:iCs/>
                <w:color w:val="333333"/>
                <w:sz w:val="20"/>
                <w:szCs w:val="20"/>
                <w:shd w:val="clear" w:color="auto" w:fill="FFFFFF"/>
              </w:rPr>
              <w:t>listening</w:t>
            </w:r>
            <w:proofErr w:type="spellEnd"/>
            <w:r w:rsidRPr="00527503">
              <w:rPr>
                <w:rFonts w:cstheme="minorHAnsi"/>
                <w:i/>
                <w:iCs/>
                <w:color w:val="333333"/>
                <w:sz w:val="20"/>
                <w:szCs w:val="20"/>
                <w:shd w:val="clear" w:color="auto" w:fill="FFFFFF"/>
              </w:rPr>
              <w:t xml:space="preserve">, reading, writing </w:t>
            </w:r>
            <w:r w:rsidRPr="00527503">
              <w:rPr>
                <w:rFonts w:cstheme="minorHAnsi"/>
                <w:color w:val="333333"/>
                <w:sz w:val="20"/>
                <w:szCs w:val="20"/>
                <w:shd w:val="clear" w:color="auto" w:fill="FFFFFF"/>
              </w:rPr>
              <w:t xml:space="preserve">e </w:t>
            </w:r>
            <w:proofErr w:type="spellStart"/>
            <w:r w:rsidRPr="00527503">
              <w:rPr>
                <w:rFonts w:cstheme="minorHAnsi"/>
                <w:i/>
                <w:iCs/>
                <w:color w:val="333333"/>
                <w:sz w:val="20"/>
                <w:szCs w:val="20"/>
                <w:shd w:val="clear" w:color="auto" w:fill="FFFFFF"/>
              </w:rPr>
              <w:t>speaking</w:t>
            </w:r>
            <w:proofErr w:type="spellEnd"/>
          </w:p>
        </w:tc>
      </w:tr>
      <w:tr w:rsidR="00E83924" w:rsidRPr="00916A4F" w14:paraId="3CE0E127" w14:textId="77777777" w:rsidTr="00FE7C58">
        <w:tc>
          <w:tcPr>
            <w:tcW w:w="3209" w:type="dxa"/>
          </w:tcPr>
          <w:p w14:paraId="0F0D4273" w14:textId="77777777" w:rsidR="00E83924" w:rsidRPr="00C754A8" w:rsidRDefault="00E83924" w:rsidP="00FE7C58">
            <w:pPr>
              <w:pStyle w:val="NormaleWeb"/>
              <w:spacing w:before="0" w:beforeAutospacing="0" w:after="150" w:afterAutospacing="0"/>
              <w:rPr>
                <w:rFonts w:asciiTheme="minorHAnsi" w:hAnsiTheme="minorHAnsi" w:cstheme="minorHAnsi"/>
                <w:color w:val="333333"/>
                <w:sz w:val="20"/>
                <w:szCs w:val="20"/>
              </w:rPr>
            </w:pPr>
            <w:r w:rsidRPr="00C754A8">
              <w:rPr>
                <w:rFonts w:asciiTheme="minorHAnsi" w:hAnsiTheme="minorHAnsi" w:cstheme="minorHAnsi"/>
                <w:color w:val="333333"/>
                <w:sz w:val="20"/>
                <w:szCs w:val="20"/>
                <w:shd w:val="clear" w:color="auto" w:fill="FFFFFF"/>
              </w:rPr>
              <w:t xml:space="preserve">Tedesco Corso di preparazione </w:t>
            </w:r>
            <w:hyperlink r:id="rId9" w:history="1">
              <w:r w:rsidRPr="00C754A8">
                <w:rPr>
                  <w:rStyle w:val="Collegamentoipertestuale"/>
                  <w:rFonts w:asciiTheme="minorHAnsi" w:hAnsiTheme="minorHAnsi" w:cstheme="minorHAnsi"/>
                  <w:color w:val="315572"/>
                  <w:sz w:val="20"/>
                  <w:szCs w:val="20"/>
                </w:rPr>
                <w:t>Open Badge</w:t>
              </w:r>
            </w:hyperlink>
            <w:r w:rsidRPr="00C754A8">
              <w:rPr>
                <w:rFonts w:asciiTheme="minorHAnsi" w:hAnsiTheme="minorHAnsi" w:cstheme="minorHAnsi"/>
                <w:color w:val="333333"/>
                <w:sz w:val="20"/>
                <w:szCs w:val="20"/>
                <w:shd w:val="clear" w:color="auto" w:fill="FFFFFF"/>
              </w:rPr>
              <w:t xml:space="preserve"> B1/B2-30 ore</w:t>
            </w:r>
          </w:p>
        </w:tc>
        <w:tc>
          <w:tcPr>
            <w:tcW w:w="1464" w:type="dxa"/>
          </w:tcPr>
          <w:p w14:paraId="0ABADC12" w14:textId="77777777" w:rsidR="00E83924" w:rsidRPr="00C754A8" w:rsidRDefault="00E83924" w:rsidP="00FE7C58">
            <w:pPr>
              <w:spacing w:after="120"/>
              <w:rPr>
                <w:rFonts w:cstheme="minorHAnsi"/>
                <w:color w:val="333333"/>
                <w:sz w:val="20"/>
                <w:szCs w:val="20"/>
              </w:rPr>
            </w:pPr>
            <w:proofErr w:type="gramStart"/>
            <w:r w:rsidRPr="00C754A8">
              <w:rPr>
                <w:rFonts w:cstheme="minorHAnsi"/>
                <w:color w:val="333333"/>
                <w:sz w:val="20"/>
                <w:szCs w:val="20"/>
              </w:rPr>
              <w:t>II</w:t>
            </w:r>
            <w:proofErr w:type="gramEnd"/>
            <w:r w:rsidRPr="00C754A8">
              <w:rPr>
                <w:rFonts w:cstheme="minorHAnsi"/>
                <w:color w:val="333333"/>
                <w:sz w:val="20"/>
                <w:szCs w:val="20"/>
              </w:rPr>
              <w:t xml:space="preserve"> semestre</w:t>
            </w:r>
          </w:p>
        </w:tc>
        <w:tc>
          <w:tcPr>
            <w:tcW w:w="4955" w:type="dxa"/>
          </w:tcPr>
          <w:p w14:paraId="3D994B0C" w14:textId="77777777" w:rsidR="00E83924" w:rsidRPr="00C754A8" w:rsidRDefault="00E83924" w:rsidP="00FE7C58">
            <w:pPr>
              <w:spacing w:after="120"/>
              <w:rPr>
                <w:rFonts w:cstheme="minorHAnsi"/>
                <w:sz w:val="20"/>
                <w:szCs w:val="20"/>
              </w:rPr>
            </w:pPr>
            <w:r w:rsidRPr="00C754A8">
              <w:rPr>
                <w:rFonts w:cstheme="minorHAnsi"/>
                <w:color w:val="333333"/>
                <w:sz w:val="20"/>
                <w:szCs w:val="20"/>
                <w:shd w:val="clear" w:color="auto" w:fill="FFFFFF"/>
              </w:rPr>
              <w:t xml:space="preserve">Livello B1 di lingua tedesca - abilità di </w:t>
            </w:r>
            <w:proofErr w:type="spellStart"/>
            <w:r w:rsidRPr="00527503">
              <w:rPr>
                <w:rFonts w:cstheme="minorHAnsi"/>
                <w:i/>
                <w:iCs/>
                <w:color w:val="333333"/>
                <w:sz w:val="20"/>
                <w:szCs w:val="20"/>
                <w:shd w:val="clear" w:color="auto" w:fill="FFFFFF"/>
              </w:rPr>
              <w:t>listening</w:t>
            </w:r>
            <w:proofErr w:type="spellEnd"/>
            <w:r w:rsidRPr="00527503">
              <w:rPr>
                <w:rFonts w:cstheme="minorHAnsi"/>
                <w:i/>
                <w:iCs/>
                <w:color w:val="333333"/>
                <w:sz w:val="20"/>
                <w:szCs w:val="20"/>
                <w:shd w:val="clear" w:color="auto" w:fill="FFFFFF"/>
              </w:rPr>
              <w:t xml:space="preserve">, reading, writing </w:t>
            </w:r>
            <w:r w:rsidRPr="00527503">
              <w:rPr>
                <w:rFonts w:cstheme="minorHAnsi"/>
                <w:color w:val="333333"/>
                <w:sz w:val="20"/>
                <w:szCs w:val="20"/>
                <w:shd w:val="clear" w:color="auto" w:fill="FFFFFF"/>
              </w:rPr>
              <w:t xml:space="preserve">e </w:t>
            </w:r>
            <w:proofErr w:type="spellStart"/>
            <w:r w:rsidRPr="00527503">
              <w:rPr>
                <w:rFonts w:cstheme="minorHAnsi"/>
                <w:i/>
                <w:iCs/>
                <w:color w:val="333333"/>
                <w:sz w:val="20"/>
                <w:szCs w:val="20"/>
                <w:shd w:val="clear" w:color="auto" w:fill="FFFFFF"/>
              </w:rPr>
              <w:t>speaking</w:t>
            </w:r>
            <w:proofErr w:type="spellEnd"/>
          </w:p>
        </w:tc>
      </w:tr>
      <w:tr w:rsidR="00E83924" w:rsidRPr="00916A4F" w14:paraId="72198468" w14:textId="77777777" w:rsidTr="00FE7C58">
        <w:tc>
          <w:tcPr>
            <w:tcW w:w="3209" w:type="dxa"/>
          </w:tcPr>
          <w:p w14:paraId="1A2A6E2F" w14:textId="77777777" w:rsidR="00E83924" w:rsidRPr="00C754A8" w:rsidRDefault="00E83924" w:rsidP="00FE7C58">
            <w:pPr>
              <w:pStyle w:val="tableparagraph0"/>
              <w:shd w:val="clear" w:color="auto" w:fill="FFFFFF"/>
              <w:spacing w:before="0" w:beforeAutospacing="0" w:after="150" w:afterAutospacing="0"/>
              <w:rPr>
                <w:rFonts w:asciiTheme="minorHAnsi" w:hAnsiTheme="minorHAnsi" w:cstheme="minorHAnsi"/>
                <w:color w:val="333333"/>
                <w:sz w:val="20"/>
                <w:szCs w:val="20"/>
              </w:rPr>
            </w:pPr>
            <w:r w:rsidRPr="00C754A8">
              <w:rPr>
                <w:rFonts w:asciiTheme="minorHAnsi" w:hAnsiTheme="minorHAnsi" w:cstheme="minorHAnsi"/>
                <w:color w:val="333333"/>
                <w:sz w:val="20"/>
                <w:szCs w:val="20"/>
              </w:rPr>
              <w:t xml:space="preserve">Inglese Corso di preparazione </w:t>
            </w:r>
            <w:hyperlink r:id="rId10" w:history="1">
              <w:r w:rsidRPr="00C754A8">
                <w:rPr>
                  <w:rStyle w:val="Collegamentoipertestuale"/>
                  <w:rFonts w:asciiTheme="minorHAnsi" w:hAnsiTheme="minorHAnsi" w:cstheme="minorHAnsi"/>
                  <w:color w:val="315572"/>
                  <w:sz w:val="20"/>
                  <w:szCs w:val="20"/>
                </w:rPr>
                <w:t>Open Badge C1</w:t>
              </w:r>
            </w:hyperlink>
            <w:r w:rsidRPr="00C754A8">
              <w:rPr>
                <w:rFonts w:asciiTheme="minorHAnsi" w:hAnsiTheme="minorHAnsi" w:cstheme="minorHAnsi"/>
                <w:color w:val="333333"/>
                <w:sz w:val="20"/>
                <w:szCs w:val="20"/>
              </w:rPr>
              <w:t>-40 ore</w:t>
            </w:r>
          </w:p>
        </w:tc>
        <w:tc>
          <w:tcPr>
            <w:tcW w:w="1464" w:type="dxa"/>
          </w:tcPr>
          <w:p w14:paraId="68D1D2D2" w14:textId="77777777" w:rsidR="00E83924" w:rsidRPr="00C754A8" w:rsidRDefault="00E83924" w:rsidP="00FE7C58">
            <w:pPr>
              <w:spacing w:after="120"/>
              <w:rPr>
                <w:rFonts w:cstheme="minorHAnsi"/>
                <w:color w:val="333333"/>
                <w:sz w:val="20"/>
                <w:szCs w:val="20"/>
              </w:rPr>
            </w:pPr>
            <w:proofErr w:type="gramStart"/>
            <w:r w:rsidRPr="00C754A8">
              <w:rPr>
                <w:rFonts w:cstheme="minorHAnsi"/>
                <w:color w:val="333333"/>
                <w:sz w:val="20"/>
                <w:szCs w:val="20"/>
              </w:rPr>
              <w:t>II</w:t>
            </w:r>
            <w:proofErr w:type="gramEnd"/>
            <w:r w:rsidRPr="00C754A8">
              <w:rPr>
                <w:rFonts w:cstheme="minorHAnsi"/>
                <w:color w:val="333333"/>
                <w:sz w:val="20"/>
                <w:szCs w:val="20"/>
              </w:rPr>
              <w:t xml:space="preserve"> semestre</w:t>
            </w:r>
          </w:p>
        </w:tc>
        <w:tc>
          <w:tcPr>
            <w:tcW w:w="4955" w:type="dxa"/>
          </w:tcPr>
          <w:p w14:paraId="5491A2A5" w14:textId="77777777" w:rsidR="00E83924" w:rsidRPr="00C754A8" w:rsidRDefault="00E83924" w:rsidP="00FE7C58">
            <w:pPr>
              <w:spacing w:after="120"/>
              <w:rPr>
                <w:rFonts w:cstheme="minorHAnsi"/>
                <w:sz w:val="20"/>
                <w:szCs w:val="20"/>
              </w:rPr>
            </w:pPr>
            <w:r w:rsidRPr="00C754A8">
              <w:rPr>
                <w:rFonts w:cstheme="minorHAnsi"/>
                <w:color w:val="333333"/>
                <w:sz w:val="20"/>
                <w:szCs w:val="20"/>
                <w:shd w:val="clear" w:color="auto" w:fill="FFFFFF"/>
              </w:rPr>
              <w:t xml:space="preserve">Livello C1 di lingua inglese - abilità di </w:t>
            </w:r>
            <w:proofErr w:type="spellStart"/>
            <w:r w:rsidRPr="00527503">
              <w:rPr>
                <w:rFonts w:cstheme="minorHAnsi"/>
                <w:i/>
                <w:iCs/>
                <w:color w:val="333333"/>
                <w:sz w:val="20"/>
                <w:szCs w:val="20"/>
                <w:shd w:val="clear" w:color="auto" w:fill="FFFFFF"/>
              </w:rPr>
              <w:t>listening</w:t>
            </w:r>
            <w:proofErr w:type="spellEnd"/>
            <w:r w:rsidRPr="00527503">
              <w:rPr>
                <w:rFonts w:cstheme="minorHAnsi"/>
                <w:i/>
                <w:iCs/>
                <w:color w:val="333333"/>
                <w:sz w:val="20"/>
                <w:szCs w:val="20"/>
                <w:shd w:val="clear" w:color="auto" w:fill="FFFFFF"/>
              </w:rPr>
              <w:t xml:space="preserve">, reading, writing </w:t>
            </w:r>
            <w:r w:rsidRPr="00527503">
              <w:rPr>
                <w:rFonts w:cstheme="minorHAnsi"/>
                <w:color w:val="333333"/>
                <w:sz w:val="20"/>
                <w:szCs w:val="20"/>
                <w:shd w:val="clear" w:color="auto" w:fill="FFFFFF"/>
              </w:rPr>
              <w:t xml:space="preserve">e </w:t>
            </w:r>
            <w:proofErr w:type="spellStart"/>
            <w:r w:rsidRPr="00527503">
              <w:rPr>
                <w:rFonts w:cstheme="minorHAnsi"/>
                <w:i/>
                <w:iCs/>
                <w:color w:val="333333"/>
                <w:sz w:val="20"/>
                <w:szCs w:val="20"/>
                <w:shd w:val="clear" w:color="auto" w:fill="FFFFFF"/>
              </w:rPr>
              <w:t>speaking</w:t>
            </w:r>
            <w:proofErr w:type="spellEnd"/>
          </w:p>
        </w:tc>
      </w:tr>
      <w:tr w:rsidR="00E83924" w:rsidRPr="00916A4F" w14:paraId="7A1864E7" w14:textId="77777777" w:rsidTr="00FE7C58">
        <w:tc>
          <w:tcPr>
            <w:tcW w:w="3209" w:type="dxa"/>
          </w:tcPr>
          <w:p w14:paraId="57F97C45" w14:textId="77777777" w:rsidR="00E83924" w:rsidRPr="00C754A8" w:rsidRDefault="00E83924" w:rsidP="00FE7C58">
            <w:pPr>
              <w:pStyle w:val="tableparagraph0"/>
              <w:shd w:val="clear" w:color="auto" w:fill="FFFFFF"/>
              <w:spacing w:before="0" w:beforeAutospacing="0" w:after="150" w:afterAutospacing="0"/>
              <w:rPr>
                <w:rFonts w:asciiTheme="minorHAnsi" w:hAnsiTheme="minorHAnsi" w:cstheme="minorHAnsi"/>
                <w:color w:val="333333"/>
                <w:sz w:val="20"/>
                <w:szCs w:val="20"/>
                <w:lang w:val="en-GB"/>
              </w:rPr>
            </w:pPr>
            <w:r w:rsidRPr="00C754A8">
              <w:rPr>
                <w:rFonts w:asciiTheme="minorHAnsi" w:hAnsiTheme="minorHAnsi" w:cstheme="minorHAnsi"/>
                <w:color w:val="333333"/>
                <w:sz w:val="20"/>
                <w:szCs w:val="20"/>
                <w:lang w:val="en-GB"/>
              </w:rPr>
              <w:t>Inglese Academic Writing and Conference Papers (</w:t>
            </w:r>
            <w:hyperlink r:id="rId11" w:history="1">
              <w:r w:rsidRPr="00C754A8">
                <w:rPr>
                  <w:rStyle w:val="Collegamentoipertestuale"/>
                  <w:rFonts w:asciiTheme="minorHAnsi" w:hAnsiTheme="minorHAnsi" w:cstheme="minorHAnsi"/>
                  <w:color w:val="315572"/>
                  <w:sz w:val="20"/>
                  <w:szCs w:val="20"/>
                  <w:lang w:val="en-GB"/>
                </w:rPr>
                <w:t>Open badge B2/C1</w:t>
              </w:r>
            </w:hyperlink>
            <w:r w:rsidRPr="00C754A8">
              <w:rPr>
                <w:rFonts w:asciiTheme="minorHAnsi" w:hAnsiTheme="minorHAnsi" w:cstheme="minorHAnsi"/>
                <w:color w:val="333333"/>
                <w:sz w:val="20"/>
                <w:szCs w:val="20"/>
                <w:lang w:val="en-GB"/>
              </w:rPr>
              <w:t>)-60 ore</w:t>
            </w:r>
          </w:p>
        </w:tc>
        <w:tc>
          <w:tcPr>
            <w:tcW w:w="1464" w:type="dxa"/>
          </w:tcPr>
          <w:p w14:paraId="192151E3" w14:textId="77777777" w:rsidR="00E83924" w:rsidRPr="00C754A8" w:rsidRDefault="00E83924" w:rsidP="00FE7C58">
            <w:pPr>
              <w:spacing w:after="120"/>
              <w:rPr>
                <w:rFonts w:cstheme="minorHAnsi"/>
                <w:color w:val="333333"/>
                <w:sz w:val="20"/>
                <w:szCs w:val="20"/>
              </w:rPr>
            </w:pPr>
            <w:proofErr w:type="gramStart"/>
            <w:r w:rsidRPr="00C754A8">
              <w:rPr>
                <w:rFonts w:cstheme="minorHAnsi"/>
                <w:color w:val="333333"/>
                <w:sz w:val="20"/>
                <w:szCs w:val="20"/>
              </w:rPr>
              <w:t>II</w:t>
            </w:r>
            <w:proofErr w:type="gramEnd"/>
            <w:r w:rsidRPr="00C754A8">
              <w:rPr>
                <w:rFonts w:cstheme="minorHAnsi"/>
                <w:color w:val="333333"/>
                <w:sz w:val="20"/>
                <w:szCs w:val="20"/>
              </w:rPr>
              <w:t xml:space="preserve"> semestre</w:t>
            </w:r>
          </w:p>
        </w:tc>
        <w:tc>
          <w:tcPr>
            <w:tcW w:w="4955" w:type="dxa"/>
          </w:tcPr>
          <w:p w14:paraId="2E4F3DBE" w14:textId="77777777" w:rsidR="00E83924" w:rsidRPr="00C754A8" w:rsidRDefault="00E83924" w:rsidP="00FE7C58">
            <w:pPr>
              <w:shd w:val="clear" w:color="auto" w:fill="FFFFFF"/>
              <w:rPr>
                <w:rFonts w:eastAsia="Times New Roman" w:cstheme="minorHAnsi"/>
                <w:color w:val="333333"/>
                <w:sz w:val="20"/>
                <w:szCs w:val="20"/>
                <w:lang w:eastAsia="it-IT"/>
              </w:rPr>
            </w:pPr>
            <w:r w:rsidRPr="00C754A8">
              <w:rPr>
                <w:rFonts w:eastAsia="Times New Roman" w:cstheme="minorHAnsi"/>
                <w:color w:val="333333"/>
                <w:sz w:val="20"/>
                <w:szCs w:val="20"/>
                <w:lang w:eastAsia="it-IT"/>
              </w:rPr>
              <w:t xml:space="preserve">Migliorare le abilità linguistiche coinvolte nella scrittura di articoli scientifici </w:t>
            </w:r>
          </w:p>
          <w:p w14:paraId="3100786B" w14:textId="77777777" w:rsidR="00E83924" w:rsidRPr="00C754A8" w:rsidRDefault="00E83924" w:rsidP="00FE7C58">
            <w:pPr>
              <w:shd w:val="clear" w:color="auto" w:fill="FFFFFF"/>
              <w:rPr>
                <w:rFonts w:cstheme="minorHAnsi"/>
                <w:sz w:val="20"/>
                <w:szCs w:val="20"/>
              </w:rPr>
            </w:pPr>
            <w:r w:rsidRPr="00C754A8">
              <w:rPr>
                <w:rFonts w:eastAsia="Times New Roman" w:cstheme="minorHAnsi"/>
                <w:color w:val="333333"/>
                <w:sz w:val="20"/>
                <w:szCs w:val="20"/>
                <w:lang w:eastAsia="it-IT"/>
              </w:rPr>
              <w:t>Migliorare le capacità linguistiche, interpersonali e grafiche necessarie per presentare gli esiti della ricerca scientifica a conferenze internazionali</w:t>
            </w:r>
          </w:p>
        </w:tc>
      </w:tr>
    </w:tbl>
    <w:p w14:paraId="14E3EF6D" w14:textId="77777777" w:rsidR="00E83924" w:rsidRDefault="00E83924" w:rsidP="00E83924">
      <w:pPr>
        <w:shd w:val="clear" w:color="auto" w:fill="FFFFFF"/>
        <w:spacing w:after="120"/>
        <w:rPr>
          <w:rFonts w:cs="Calibri"/>
        </w:rPr>
      </w:pPr>
    </w:p>
    <w:p w14:paraId="0764E5AB" w14:textId="77777777" w:rsidR="00E83924" w:rsidRPr="0071593C" w:rsidRDefault="00E83924" w:rsidP="00E83924">
      <w:pPr>
        <w:shd w:val="clear" w:color="auto" w:fill="FFFFFF"/>
        <w:spacing w:after="120"/>
        <w:rPr>
          <w:rFonts w:cs="Calibri"/>
          <w:b/>
          <w:bCs/>
        </w:rPr>
      </w:pPr>
      <w:r w:rsidRPr="0071593C">
        <w:rPr>
          <w:rFonts w:cs="Calibri"/>
          <w:b/>
          <w:bCs/>
        </w:rPr>
        <w:t xml:space="preserve">Tabella </w:t>
      </w:r>
      <w:r>
        <w:rPr>
          <w:rFonts w:cs="Calibri"/>
          <w:b/>
          <w:bCs/>
        </w:rPr>
        <w:t>4</w:t>
      </w:r>
      <w:r w:rsidRPr="0071593C">
        <w:rPr>
          <w:rFonts w:cs="Calibri"/>
          <w:b/>
          <w:bCs/>
        </w:rPr>
        <w:t>. Attività traversali organizzate dalla Scuola di Dottorato dell’Università di Palermo</w:t>
      </w:r>
    </w:p>
    <w:tbl>
      <w:tblPr>
        <w:tblStyle w:val="Grigliatabella"/>
        <w:tblW w:w="8075" w:type="dxa"/>
        <w:tblLook w:val="04A0" w:firstRow="1" w:lastRow="0" w:firstColumn="1" w:lastColumn="0" w:noHBand="0" w:noVBand="1"/>
      </w:tblPr>
      <w:tblGrid>
        <w:gridCol w:w="6232"/>
        <w:gridCol w:w="1843"/>
      </w:tblGrid>
      <w:tr w:rsidR="00E83924" w:rsidRPr="00916A4F" w14:paraId="34E579ED" w14:textId="77777777" w:rsidTr="003E63F1">
        <w:tc>
          <w:tcPr>
            <w:tcW w:w="6232" w:type="dxa"/>
          </w:tcPr>
          <w:p w14:paraId="44CB8605" w14:textId="67481F7C" w:rsidR="00E83924" w:rsidRPr="00916A4F" w:rsidRDefault="00E83924" w:rsidP="00FE7C58">
            <w:pPr>
              <w:spacing w:after="120"/>
              <w:rPr>
                <w:rFonts w:cstheme="minorHAnsi"/>
                <w:sz w:val="22"/>
                <w:szCs w:val="22"/>
              </w:rPr>
            </w:pPr>
            <w:r>
              <w:rPr>
                <w:rStyle w:val="Enfasigrassetto"/>
                <w:color w:val="333333"/>
              </w:rPr>
              <w:lastRenderedPageBreak/>
              <w:t>Tematiche</w:t>
            </w:r>
          </w:p>
        </w:tc>
        <w:tc>
          <w:tcPr>
            <w:tcW w:w="1843" w:type="dxa"/>
          </w:tcPr>
          <w:p w14:paraId="4EE150CC" w14:textId="77777777" w:rsidR="00E83924" w:rsidRPr="00916A4F" w:rsidRDefault="00E83924" w:rsidP="00FE7C58">
            <w:pPr>
              <w:spacing w:after="120"/>
              <w:rPr>
                <w:rFonts w:cstheme="minorHAnsi"/>
                <w:sz w:val="22"/>
                <w:szCs w:val="22"/>
              </w:rPr>
            </w:pPr>
            <w:r w:rsidRPr="00916A4F">
              <w:rPr>
                <w:rStyle w:val="Enfasigrassetto"/>
                <w:rFonts w:cstheme="minorHAnsi"/>
                <w:color w:val="333333"/>
                <w:sz w:val="22"/>
                <w:szCs w:val="22"/>
              </w:rPr>
              <w:t>Periodo</w:t>
            </w:r>
          </w:p>
        </w:tc>
      </w:tr>
      <w:tr w:rsidR="00E83924" w:rsidRPr="00916A4F" w14:paraId="5BBB09DF" w14:textId="77777777" w:rsidTr="003E63F1">
        <w:tc>
          <w:tcPr>
            <w:tcW w:w="6232" w:type="dxa"/>
          </w:tcPr>
          <w:p w14:paraId="62834E70" w14:textId="77777777" w:rsidR="00E83924" w:rsidRPr="00C754A8" w:rsidRDefault="00E83924" w:rsidP="00FE7C58">
            <w:pPr>
              <w:pStyle w:val="tableparagraph0"/>
              <w:spacing w:before="0" w:beforeAutospacing="0" w:after="150" w:afterAutospacing="0"/>
              <w:rPr>
                <w:rFonts w:asciiTheme="minorHAnsi" w:hAnsiTheme="minorHAnsi" w:cstheme="minorHAnsi"/>
                <w:sz w:val="20"/>
                <w:szCs w:val="20"/>
              </w:rPr>
            </w:pPr>
            <w:r w:rsidRPr="00C754A8">
              <w:rPr>
                <w:rFonts w:asciiTheme="minorHAnsi" w:hAnsiTheme="minorHAnsi" w:cstheme="minorHAnsi"/>
                <w:sz w:val="20"/>
                <w:szCs w:val="20"/>
              </w:rPr>
              <w:t xml:space="preserve">Come scrivere un paper scientifico  </w:t>
            </w:r>
          </w:p>
        </w:tc>
        <w:tc>
          <w:tcPr>
            <w:tcW w:w="1843" w:type="dxa"/>
            <w:vMerge w:val="restart"/>
          </w:tcPr>
          <w:p w14:paraId="62651A9E" w14:textId="77777777" w:rsidR="00E83924" w:rsidRPr="00C754A8" w:rsidRDefault="00E83924" w:rsidP="00FE7C58">
            <w:pPr>
              <w:spacing w:after="120"/>
              <w:rPr>
                <w:rFonts w:cstheme="minorHAnsi"/>
                <w:sz w:val="20"/>
                <w:szCs w:val="20"/>
              </w:rPr>
            </w:pPr>
            <w:r w:rsidRPr="00C754A8">
              <w:rPr>
                <w:rFonts w:cstheme="minorHAnsi"/>
                <w:sz w:val="20"/>
                <w:szCs w:val="20"/>
              </w:rPr>
              <w:t>ogni primo Lunedi dei mesi pari</w:t>
            </w:r>
          </w:p>
        </w:tc>
      </w:tr>
      <w:tr w:rsidR="00E83924" w:rsidRPr="00916A4F" w14:paraId="59004ECE" w14:textId="77777777" w:rsidTr="003E63F1">
        <w:tc>
          <w:tcPr>
            <w:tcW w:w="6232" w:type="dxa"/>
          </w:tcPr>
          <w:p w14:paraId="31768E1F" w14:textId="77777777" w:rsidR="00E83924" w:rsidRPr="00C754A8" w:rsidRDefault="00E83924" w:rsidP="00FE7C58">
            <w:pPr>
              <w:pStyle w:val="NormaleWeb"/>
              <w:spacing w:before="0" w:beforeAutospacing="0" w:after="150" w:afterAutospacing="0"/>
              <w:rPr>
                <w:rFonts w:asciiTheme="minorHAnsi" w:hAnsiTheme="minorHAnsi" w:cstheme="minorHAnsi"/>
                <w:sz w:val="20"/>
                <w:szCs w:val="20"/>
              </w:rPr>
            </w:pPr>
            <w:r w:rsidRPr="00C754A8">
              <w:rPr>
                <w:rFonts w:asciiTheme="minorHAnsi" w:hAnsiTheme="minorHAnsi" w:cstheme="minorHAnsi"/>
                <w:sz w:val="20"/>
                <w:szCs w:val="20"/>
              </w:rPr>
              <w:t xml:space="preserve">Come scrivere un progetto di ricerca </w:t>
            </w:r>
          </w:p>
        </w:tc>
        <w:tc>
          <w:tcPr>
            <w:tcW w:w="1843" w:type="dxa"/>
            <w:vMerge/>
          </w:tcPr>
          <w:p w14:paraId="2C371A7F" w14:textId="77777777" w:rsidR="00E83924" w:rsidRPr="00C754A8" w:rsidRDefault="00E83924" w:rsidP="00FE7C58">
            <w:pPr>
              <w:spacing w:after="120"/>
              <w:rPr>
                <w:rFonts w:cstheme="minorHAnsi"/>
                <w:sz w:val="20"/>
                <w:szCs w:val="20"/>
              </w:rPr>
            </w:pPr>
          </w:p>
        </w:tc>
      </w:tr>
      <w:tr w:rsidR="00E83924" w:rsidRPr="00916A4F" w14:paraId="6046917E" w14:textId="77777777" w:rsidTr="003E63F1">
        <w:tc>
          <w:tcPr>
            <w:tcW w:w="6232" w:type="dxa"/>
          </w:tcPr>
          <w:p w14:paraId="7BDC186A" w14:textId="77777777" w:rsidR="00E83924" w:rsidRPr="00C754A8" w:rsidRDefault="00E83924" w:rsidP="00FE7C58">
            <w:pPr>
              <w:pStyle w:val="NormaleWeb"/>
              <w:spacing w:before="0" w:beforeAutospacing="0" w:after="150" w:afterAutospacing="0"/>
              <w:rPr>
                <w:rFonts w:asciiTheme="minorHAnsi" w:hAnsiTheme="minorHAnsi" w:cstheme="minorHAnsi"/>
                <w:color w:val="333333"/>
                <w:sz w:val="20"/>
                <w:szCs w:val="20"/>
              </w:rPr>
            </w:pPr>
            <w:r w:rsidRPr="00C754A8">
              <w:rPr>
                <w:rFonts w:asciiTheme="minorHAnsi" w:hAnsiTheme="minorHAnsi" w:cstheme="minorHAnsi"/>
                <w:sz w:val="20"/>
                <w:szCs w:val="20"/>
              </w:rPr>
              <w:t xml:space="preserve">La gestione della ricerca e della conoscenza dei sistemi di ricerca europei e internazionali </w:t>
            </w:r>
          </w:p>
        </w:tc>
        <w:tc>
          <w:tcPr>
            <w:tcW w:w="1843" w:type="dxa"/>
            <w:vMerge/>
          </w:tcPr>
          <w:p w14:paraId="45A183B5" w14:textId="77777777" w:rsidR="00E83924" w:rsidRPr="00C754A8" w:rsidRDefault="00E83924" w:rsidP="00FE7C58">
            <w:pPr>
              <w:spacing w:after="120"/>
              <w:rPr>
                <w:rFonts w:cstheme="minorHAnsi"/>
                <w:color w:val="333333"/>
                <w:sz w:val="20"/>
                <w:szCs w:val="20"/>
              </w:rPr>
            </w:pPr>
          </w:p>
        </w:tc>
      </w:tr>
      <w:tr w:rsidR="00E83924" w:rsidRPr="00916A4F" w14:paraId="4D609100" w14:textId="77777777" w:rsidTr="003E63F1">
        <w:tc>
          <w:tcPr>
            <w:tcW w:w="6232" w:type="dxa"/>
          </w:tcPr>
          <w:p w14:paraId="0E486758" w14:textId="77777777" w:rsidR="00E83924" w:rsidRPr="00C754A8" w:rsidRDefault="00E83924" w:rsidP="00FE7C58">
            <w:pPr>
              <w:pStyle w:val="tableparagraph0"/>
              <w:shd w:val="clear" w:color="auto" w:fill="FFFFFF"/>
              <w:spacing w:before="0" w:beforeAutospacing="0" w:after="150" w:afterAutospacing="0"/>
              <w:rPr>
                <w:rFonts w:asciiTheme="minorHAnsi" w:hAnsiTheme="minorHAnsi" w:cstheme="minorHAnsi"/>
                <w:color w:val="333333"/>
                <w:sz w:val="20"/>
                <w:szCs w:val="20"/>
              </w:rPr>
            </w:pPr>
            <w:r w:rsidRPr="00C754A8">
              <w:rPr>
                <w:rFonts w:asciiTheme="minorHAnsi" w:hAnsiTheme="minorHAnsi" w:cstheme="minorHAnsi"/>
                <w:sz w:val="20"/>
                <w:szCs w:val="20"/>
              </w:rPr>
              <w:t xml:space="preserve">Valorizzazione e disseminazione dei risultati di ricerca </w:t>
            </w:r>
          </w:p>
        </w:tc>
        <w:tc>
          <w:tcPr>
            <w:tcW w:w="1843" w:type="dxa"/>
            <w:vMerge/>
          </w:tcPr>
          <w:p w14:paraId="0AB142E9" w14:textId="77777777" w:rsidR="00E83924" w:rsidRPr="00C754A8" w:rsidRDefault="00E83924" w:rsidP="00FE7C58">
            <w:pPr>
              <w:spacing w:after="120"/>
              <w:rPr>
                <w:rFonts w:cstheme="minorHAnsi"/>
                <w:color w:val="333333"/>
                <w:sz w:val="20"/>
                <w:szCs w:val="20"/>
              </w:rPr>
            </w:pPr>
          </w:p>
        </w:tc>
      </w:tr>
      <w:tr w:rsidR="00E83924" w:rsidRPr="00916A4F" w14:paraId="6C23A8F1" w14:textId="77777777" w:rsidTr="003E63F1">
        <w:tc>
          <w:tcPr>
            <w:tcW w:w="6232" w:type="dxa"/>
          </w:tcPr>
          <w:p w14:paraId="0CA79B39" w14:textId="77777777" w:rsidR="00E83924" w:rsidRPr="00C754A8" w:rsidRDefault="00E83924" w:rsidP="00FE7C58">
            <w:pPr>
              <w:pStyle w:val="tableparagraph0"/>
              <w:shd w:val="clear" w:color="auto" w:fill="FFFFFF"/>
              <w:spacing w:before="0" w:beforeAutospacing="0" w:after="150" w:afterAutospacing="0"/>
              <w:rPr>
                <w:rFonts w:asciiTheme="minorHAnsi" w:hAnsiTheme="minorHAnsi" w:cstheme="minorHAnsi"/>
                <w:color w:val="333333"/>
                <w:sz w:val="20"/>
                <w:szCs w:val="20"/>
              </w:rPr>
            </w:pPr>
            <w:r w:rsidRPr="00C754A8">
              <w:rPr>
                <w:rFonts w:asciiTheme="minorHAnsi" w:hAnsiTheme="minorHAnsi" w:cstheme="minorHAnsi"/>
                <w:sz w:val="20"/>
                <w:szCs w:val="20"/>
              </w:rPr>
              <w:t xml:space="preserve">Proprietà intellettuale e dell’accesso aperto ai dati e ai prodotti della ricerca </w:t>
            </w:r>
          </w:p>
        </w:tc>
        <w:tc>
          <w:tcPr>
            <w:tcW w:w="1843" w:type="dxa"/>
            <w:vMerge/>
          </w:tcPr>
          <w:p w14:paraId="14FA949B" w14:textId="77777777" w:rsidR="00E83924" w:rsidRPr="00C754A8" w:rsidRDefault="00E83924" w:rsidP="00FE7C58">
            <w:pPr>
              <w:spacing w:after="120"/>
              <w:rPr>
                <w:rFonts w:cstheme="minorHAnsi"/>
                <w:color w:val="333333"/>
                <w:sz w:val="20"/>
                <w:szCs w:val="20"/>
              </w:rPr>
            </w:pPr>
          </w:p>
        </w:tc>
      </w:tr>
    </w:tbl>
    <w:p w14:paraId="2F150CF4" w14:textId="77777777" w:rsidR="00E83924" w:rsidRPr="00BE3F5D" w:rsidRDefault="00E83924" w:rsidP="00E83924">
      <w:pPr>
        <w:shd w:val="clear" w:color="auto" w:fill="FFFFFF"/>
        <w:spacing w:after="120"/>
        <w:rPr>
          <w:rFonts w:cs="Calibri"/>
        </w:rPr>
      </w:pPr>
    </w:p>
    <w:p w14:paraId="559EB997" w14:textId="77777777" w:rsidR="00E83924" w:rsidRDefault="00E83924" w:rsidP="00E83924">
      <w:pPr>
        <w:shd w:val="clear" w:color="auto" w:fill="FFFFFF"/>
        <w:spacing w:after="120"/>
        <w:rPr>
          <w:rFonts w:cs="Calibri"/>
        </w:rPr>
      </w:pPr>
      <w:r w:rsidRPr="00324EF4">
        <w:rPr>
          <w:rFonts w:cs="Calibri"/>
        </w:rPr>
        <w:t xml:space="preserve">Il </w:t>
      </w:r>
      <w:r>
        <w:rPr>
          <w:rFonts w:cs="Calibri"/>
        </w:rPr>
        <w:t>T</w:t>
      </w:r>
      <w:r w:rsidRPr="00324EF4">
        <w:rPr>
          <w:rFonts w:cs="Calibri"/>
        </w:rPr>
        <w:t xml:space="preserve">utor affianca il </w:t>
      </w:r>
      <w:r>
        <w:rPr>
          <w:rFonts w:cs="Calibri"/>
        </w:rPr>
        <w:t>Dottoran</w:t>
      </w:r>
      <w:r w:rsidRPr="00324EF4">
        <w:rPr>
          <w:rFonts w:cs="Calibri"/>
        </w:rPr>
        <w:t xml:space="preserve">do non solo nella fase propositiva delle attività formative annuali, ma anche attraverso il continuo supporto nelle attività di formazione e di ricerca, con l’inserimento del </w:t>
      </w:r>
      <w:r>
        <w:rPr>
          <w:rFonts w:cs="Calibri"/>
        </w:rPr>
        <w:t>Dottoran</w:t>
      </w:r>
      <w:r w:rsidRPr="00324EF4">
        <w:rPr>
          <w:rFonts w:cs="Calibri"/>
        </w:rPr>
        <w:t xml:space="preserve">do nella comunità scientifica di riferimento, sostenendolo anche nella creazione di </w:t>
      </w:r>
      <w:r w:rsidRPr="00474C4B">
        <w:rPr>
          <w:rFonts w:cs="Calibri"/>
          <w:i/>
          <w:iCs/>
        </w:rPr>
        <w:t>network</w:t>
      </w:r>
      <w:r w:rsidRPr="00324EF4">
        <w:rPr>
          <w:rFonts w:cs="Calibri"/>
        </w:rPr>
        <w:t xml:space="preserve"> e collaborazioni </w:t>
      </w:r>
      <w:r>
        <w:rPr>
          <w:rFonts w:cs="Calibri"/>
        </w:rPr>
        <w:t xml:space="preserve">scientifiche </w:t>
      </w:r>
      <w:r w:rsidRPr="00324EF4">
        <w:rPr>
          <w:rFonts w:cs="Calibri"/>
        </w:rPr>
        <w:t>e fornendo strumenti utili alla proposizione di ricerche e progettualità</w:t>
      </w:r>
      <w:r>
        <w:rPr>
          <w:rFonts w:cs="Calibri"/>
        </w:rPr>
        <w:t>,</w:t>
      </w:r>
      <w:r w:rsidRPr="00324EF4">
        <w:rPr>
          <w:rFonts w:cs="Calibri"/>
        </w:rPr>
        <w:t xml:space="preserve"> oltre che alla</w:t>
      </w:r>
      <w:r>
        <w:rPr>
          <w:rFonts w:cs="Calibri"/>
        </w:rPr>
        <w:t xml:space="preserve"> redazione di</w:t>
      </w:r>
      <w:r w:rsidRPr="00324EF4">
        <w:rPr>
          <w:rFonts w:cs="Calibri"/>
        </w:rPr>
        <w:t xml:space="preserve"> pubblicazioni </w:t>
      </w:r>
      <w:r>
        <w:rPr>
          <w:rFonts w:cs="Calibri"/>
        </w:rPr>
        <w:t>di articoli scientifici e/o monografie</w:t>
      </w:r>
      <w:r w:rsidRPr="00324EF4">
        <w:rPr>
          <w:rFonts w:cs="Calibri"/>
        </w:rPr>
        <w:t>.</w:t>
      </w:r>
    </w:p>
    <w:p w14:paraId="4542C499" w14:textId="3D095FEE" w:rsidR="00E83924" w:rsidRDefault="00E83924" w:rsidP="00E83924">
      <w:pPr>
        <w:spacing w:after="120"/>
        <w:rPr>
          <w:rFonts w:cs="Calibri"/>
        </w:rPr>
      </w:pPr>
      <w:r w:rsidRPr="00324EF4">
        <w:rPr>
          <w:rFonts w:cs="Calibri"/>
        </w:rPr>
        <w:t xml:space="preserve">Al termine di ogni anno, il </w:t>
      </w:r>
      <w:r>
        <w:rPr>
          <w:rFonts w:cs="Calibri"/>
        </w:rPr>
        <w:t>Dottoran</w:t>
      </w:r>
      <w:r w:rsidRPr="00324EF4">
        <w:rPr>
          <w:rFonts w:cs="Calibri"/>
        </w:rPr>
        <w:t xml:space="preserve">do presenta al </w:t>
      </w:r>
      <w:r>
        <w:rPr>
          <w:rFonts w:cs="Calibri"/>
        </w:rPr>
        <w:t>Collegio dei Docenti</w:t>
      </w:r>
      <w:r w:rsidRPr="00324EF4">
        <w:rPr>
          <w:rFonts w:cs="Calibri"/>
        </w:rPr>
        <w:t xml:space="preserve"> una relazione scritta </w:t>
      </w:r>
      <w:r>
        <w:rPr>
          <w:rFonts w:cs="Calibri"/>
        </w:rPr>
        <w:t>su</w:t>
      </w:r>
      <w:r w:rsidRPr="00324EF4">
        <w:rPr>
          <w:rFonts w:cs="Calibri"/>
        </w:rPr>
        <w:t xml:space="preserve">lle attività formative svolte, controfirmata dal </w:t>
      </w:r>
      <w:r>
        <w:rPr>
          <w:rFonts w:cs="Calibri"/>
        </w:rPr>
        <w:t>T</w:t>
      </w:r>
      <w:r w:rsidRPr="00324EF4">
        <w:rPr>
          <w:rFonts w:cs="Calibri"/>
        </w:rPr>
        <w:t xml:space="preserve">utor. Un elenco </w:t>
      </w:r>
      <w:r>
        <w:rPr>
          <w:rFonts w:cs="Calibri"/>
        </w:rPr>
        <w:t xml:space="preserve">delle </w:t>
      </w:r>
      <w:proofErr w:type="spellStart"/>
      <w:r>
        <w:rPr>
          <w:rFonts w:cs="Calibri"/>
        </w:rPr>
        <w:t>attitivà</w:t>
      </w:r>
      <w:proofErr w:type="spellEnd"/>
      <w:r>
        <w:rPr>
          <w:rFonts w:cs="Calibri"/>
        </w:rPr>
        <w:t xml:space="preserve"> formative svolte, incluse le </w:t>
      </w:r>
      <w:r w:rsidRPr="00324EF4">
        <w:rPr>
          <w:rFonts w:cs="Calibri"/>
        </w:rPr>
        <w:t>eventuali attività di tutorato e di didattica integrativa</w:t>
      </w:r>
      <w:r>
        <w:rPr>
          <w:rFonts w:cs="Calibri"/>
        </w:rPr>
        <w:t>,</w:t>
      </w:r>
      <w:r w:rsidRPr="00324EF4">
        <w:rPr>
          <w:rFonts w:cs="Calibri"/>
        </w:rPr>
        <w:t xml:space="preserve"> </w:t>
      </w:r>
      <w:r>
        <w:rPr>
          <w:rFonts w:cs="Calibri"/>
        </w:rPr>
        <w:t>viene</w:t>
      </w:r>
      <w:r w:rsidRPr="00324EF4">
        <w:rPr>
          <w:rFonts w:cs="Calibri"/>
        </w:rPr>
        <w:t xml:space="preserve"> allegato alla relazione. Inoltre, l’attività di ricerca </w:t>
      </w:r>
      <w:r>
        <w:rPr>
          <w:rFonts w:cs="Calibri"/>
        </w:rPr>
        <w:t>condotta</w:t>
      </w:r>
      <w:r w:rsidRPr="00324EF4">
        <w:rPr>
          <w:rFonts w:cs="Calibri"/>
        </w:rPr>
        <w:t xml:space="preserve"> durante l’anno </w:t>
      </w:r>
      <w:r>
        <w:rPr>
          <w:rFonts w:cs="Calibri"/>
        </w:rPr>
        <w:t xml:space="preserve">viene </w:t>
      </w:r>
      <w:r w:rsidRPr="00324EF4">
        <w:rPr>
          <w:rFonts w:cs="Calibri"/>
        </w:rPr>
        <w:t xml:space="preserve">presentata oralmente al </w:t>
      </w:r>
      <w:r>
        <w:rPr>
          <w:rFonts w:cs="Calibri"/>
        </w:rPr>
        <w:t>Collegio dei Docenti</w:t>
      </w:r>
      <w:r w:rsidRPr="00324EF4">
        <w:rPr>
          <w:rFonts w:cs="Calibri"/>
        </w:rPr>
        <w:t xml:space="preserve"> per la valutazione dell’ammissione agli anni successivi o alla procedura per l’accesso </w:t>
      </w:r>
      <w:r w:rsidRPr="00BC6FD1">
        <w:rPr>
          <w:rFonts w:cs="Calibri"/>
        </w:rPr>
        <w:t xml:space="preserve">all’esame finale. Per l’ammissione all’esame finale il Dottorando dovrà aver sottomesso un articolo pertinente alla tematica della tesi di dottorato, previa approvazione del Tutor, per la pubblicazione su rivista o libro. Il Collegio dei Docenti può concedere, su richiesta del </w:t>
      </w:r>
      <w:r>
        <w:rPr>
          <w:rFonts w:cs="Calibri"/>
        </w:rPr>
        <w:t>D</w:t>
      </w:r>
      <w:r w:rsidRPr="00BC6FD1">
        <w:rPr>
          <w:rFonts w:cs="Calibri"/>
        </w:rPr>
        <w:t>ottorando, una proroga della durata massima di dodici</w:t>
      </w:r>
      <w:r w:rsidRPr="00A37097">
        <w:rPr>
          <w:rFonts w:cs="Calibri"/>
        </w:rPr>
        <w:t xml:space="preserve"> mesi, senza ulteriori oneri finanziari</w:t>
      </w:r>
      <w:r w:rsidRPr="00324EF4">
        <w:rPr>
          <w:rFonts w:cs="Calibri"/>
        </w:rPr>
        <w:t xml:space="preserve">. Il </w:t>
      </w:r>
      <w:r>
        <w:rPr>
          <w:rFonts w:cs="Calibri"/>
        </w:rPr>
        <w:t>Collegio dei Docenti</w:t>
      </w:r>
      <w:r w:rsidRPr="00324EF4">
        <w:rPr>
          <w:rFonts w:cs="Calibri"/>
        </w:rPr>
        <w:t xml:space="preserve">, sentito il </w:t>
      </w:r>
      <w:r>
        <w:rPr>
          <w:rFonts w:cs="Calibri"/>
        </w:rPr>
        <w:t>T</w:t>
      </w:r>
      <w:r w:rsidRPr="00324EF4">
        <w:rPr>
          <w:rFonts w:cs="Calibri"/>
        </w:rPr>
        <w:t>utor, deliber</w:t>
      </w:r>
      <w:r>
        <w:rPr>
          <w:rFonts w:cs="Calibri"/>
        </w:rPr>
        <w:t>a</w:t>
      </w:r>
      <w:r w:rsidRPr="00324EF4">
        <w:rPr>
          <w:rFonts w:cs="Calibri"/>
        </w:rPr>
        <w:t xml:space="preserve"> sull’ammissione in base alla relazione delle attività svolte, alla discussione ed al raggiungimento dei requisiti minimi. L’ammissione implica il riconoscimento dei CFU </w:t>
      </w:r>
      <w:r>
        <w:rPr>
          <w:rFonts w:cs="Calibri"/>
        </w:rPr>
        <w:t xml:space="preserve">elencati </w:t>
      </w:r>
      <w:r w:rsidRPr="00324EF4">
        <w:rPr>
          <w:rFonts w:cs="Calibri"/>
        </w:rPr>
        <w:t xml:space="preserve">nella relazione </w:t>
      </w:r>
      <w:r>
        <w:rPr>
          <w:rFonts w:cs="Calibri"/>
        </w:rPr>
        <w:t>su</w:t>
      </w:r>
      <w:r w:rsidRPr="00324EF4">
        <w:rPr>
          <w:rFonts w:cs="Calibri"/>
        </w:rPr>
        <w:t xml:space="preserve">lle attività formative svolte. Il </w:t>
      </w:r>
      <w:r>
        <w:rPr>
          <w:rFonts w:cs="Calibri"/>
        </w:rPr>
        <w:t>Collegio dei Docenti</w:t>
      </w:r>
      <w:r w:rsidRPr="00324EF4">
        <w:rPr>
          <w:rFonts w:cs="Calibri"/>
        </w:rPr>
        <w:t xml:space="preserve"> </w:t>
      </w:r>
      <w:r>
        <w:rPr>
          <w:rFonts w:cs="Calibri"/>
        </w:rPr>
        <w:t>può</w:t>
      </w:r>
      <w:r w:rsidRPr="00324EF4">
        <w:rPr>
          <w:rFonts w:cs="Calibri"/>
        </w:rPr>
        <w:t xml:space="preserve"> comunque riconoscere i CFU anche in caso di non ammissione.</w:t>
      </w:r>
    </w:p>
    <w:p w14:paraId="2D7D0D41" w14:textId="77777777" w:rsidR="00E83924" w:rsidRPr="00324EF4" w:rsidRDefault="00E83924" w:rsidP="00E83924">
      <w:pPr>
        <w:spacing w:after="120"/>
        <w:rPr>
          <w:rFonts w:cs="Calibri"/>
        </w:rPr>
      </w:pPr>
    </w:p>
    <w:p w14:paraId="31725121" w14:textId="77777777" w:rsidR="00E83924" w:rsidRPr="00E434B5" w:rsidRDefault="00E83924" w:rsidP="00E83924">
      <w:pPr>
        <w:spacing w:after="120"/>
        <w:rPr>
          <w:rFonts w:cs="Calibri"/>
          <w:b/>
          <w:bCs/>
          <w:i/>
          <w:iCs/>
        </w:rPr>
      </w:pPr>
      <w:r>
        <w:rPr>
          <w:rFonts w:cs="Calibri"/>
          <w:b/>
          <w:bCs/>
          <w:i/>
          <w:iCs/>
        </w:rPr>
        <w:t>2.2 R</w:t>
      </w:r>
      <w:r w:rsidRPr="00E434B5">
        <w:rPr>
          <w:rFonts w:cs="Calibri"/>
          <w:b/>
          <w:bCs/>
          <w:i/>
          <w:iCs/>
        </w:rPr>
        <w:t>isorse finanziarie e strutturali</w:t>
      </w:r>
    </w:p>
    <w:p w14:paraId="099F22A7" w14:textId="55DFF7D8" w:rsidR="00E83924" w:rsidRDefault="00E83924" w:rsidP="00E83924">
      <w:pPr>
        <w:spacing w:after="120"/>
        <w:rPr>
          <w:rFonts w:cs="Calibri"/>
        </w:rPr>
      </w:pPr>
      <w:r>
        <w:rPr>
          <w:rFonts w:cs="Calibri"/>
        </w:rPr>
        <w:t>P</w:t>
      </w:r>
      <w:r w:rsidRPr="00324EF4">
        <w:rPr>
          <w:rFonts w:cs="Calibri"/>
        </w:rPr>
        <w:t xml:space="preserve">er le proprie attività di formazione e ricerca </w:t>
      </w:r>
      <w:r>
        <w:rPr>
          <w:rFonts w:cs="Calibri"/>
        </w:rPr>
        <w:t>i</w:t>
      </w:r>
      <w:r w:rsidRPr="00324EF4">
        <w:rPr>
          <w:rFonts w:cs="Calibri"/>
        </w:rPr>
        <w:t xml:space="preserve"> </w:t>
      </w:r>
      <w:r>
        <w:rPr>
          <w:rFonts w:cs="Calibri"/>
        </w:rPr>
        <w:t>Dottoran</w:t>
      </w:r>
      <w:r w:rsidRPr="00324EF4">
        <w:rPr>
          <w:rFonts w:cs="Calibri"/>
        </w:rPr>
        <w:t>di hanno assegnato</w:t>
      </w:r>
      <w:r>
        <w:rPr>
          <w:rFonts w:cs="Calibri"/>
        </w:rPr>
        <w:t xml:space="preserve"> </w:t>
      </w:r>
      <w:r w:rsidRPr="00324EF4">
        <w:rPr>
          <w:rFonts w:cs="Calibri"/>
        </w:rPr>
        <w:t xml:space="preserve">un budget pari al 10% della propria borsa di studio annuale. Da prassi, inoltre, i </w:t>
      </w:r>
      <w:r>
        <w:rPr>
          <w:rFonts w:cs="Calibri"/>
        </w:rPr>
        <w:t>Dottoran</w:t>
      </w:r>
      <w:r w:rsidRPr="00324EF4">
        <w:rPr>
          <w:rFonts w:cs="Calibri"/>
        </w:rPr>
        <w:t xml:space="preserve">di vengono inseriti nei progetti di ricerca dei </w:t>
      </w:r>
      <w:r>
        <w:rPr>
          <w:rFonts w:cs="Calibri"/>
        </w:rPr>
        <w:t>T</w:t>
      </w:r>
      <w:r w:rsidRPr="00324EF4">
        <w:rPr>
          <w:rFonts w:cs="Calibri"/>
        </w:rPr>
        <w:t xml:space="preserve">utor e </w:t>
      </w:r>
      <w:r>
        <w:rPr>
          <w:rFonts w:cs="Calibri"/>
        </w:rPr>
        <w:t>C</w:t>
      </w:r>
      <w:r w:rsidRPr="00324EF4">
        <w:rPr>
          <w:rFonts w:cs="Calibri"/>
        </w:rPr>
        <w:t>o-</w:t>
      </w:r>
      <w:r>
        <w:rPr>
          <w:rFonts w:cs="Calibri"/>
        </w:rPr>
        <w:t>T</w:t>
      </w:r>
      <w:r w:rsidRPr="00324EF4">
        <w:rPr>
          <w:rFonts w:cs="Calibri"/>
        </w:rPr>
        <w:t xml:space="preserve">utor, consentendo così non solo il supporto di risorse finanziare necessarie per il pieno svolgimento </w:t>
      </w:r>
      <w:r>
        <w:rPr>
          <w:rFonts w:cs="Calibri"/>
        </w:rPr>
        <w:t xml:space="preserve">della </w:t>
      </w:r>
      <w:r w:rsidRPr="00324EF4">
        <w:rPr>
          <w:rFonts w:cs="Calibri"/>
        </w:rPr>
        <w:t>loro attività di formazione e ricerca</w:t>
      </w:r>
      <w:r>
        <w:rPr>
          <w:rFonts w:cs="Calibri"/>
        </w:rPr>
        <w:t>,</w:t>
      </w:r>
      <w:r w:rsidRPr="00324EF4">
        <w:rPr>
          <w:rFonts w:cs="Calibri"/>
        </w:rPr>
        <w:t xml:space="preserve"> nonché per la divulgazione e la disseminazione dei risultati</w:t>
      </w:r>
      <w:r>
        <w:rPr>
          <w:rFonts w:cs="Calibri"/>
        </w:rPr>
        <w:t>, ma anche</w:t>
      </w:r>
      <w:r w:rsidRPr="00324EF4">
        <w:rPr>
          <w:rFonts w:cs="Calibri"/>
        </w:rPr>
        <w:t xml:space="preserve"> l’integrazione nei </w:t>
      </w:r>
      <w:r>
        <w:rPr>
          <w:rFonts w:cs="Calibri"/>
        </w:rPr>
        <w:t>gruppi</w:t>
      </w:r>
      <w:r w:rsidRPr="00324EF4">
        <w:rPr>
          <w:rFonts w:cs="Calibri"/>
        </w:rPr>
        <w:t xml:space="preserve"> di ricerca in contesto nazionale ed internazionale. A tal proposito, si sottolinea come il </w:t>
      </w:r>
      <w:r>
        <w:rPr>
          <w:rFonts w:cs="Calibri"/>
        </w:rPr>
        <w:t>Collegio dei Docenti</w:t>
      </w:r>
      <w:r w:rsidRPr="00324EF4">
        <w:rPr>
          <w:rFonts w:cs="Calibri"/>
        </w:rPr>
        <w:t xml:space="preserve"> e i </w:t>
      </w:r>
      <w:r>
        <w:rPr>
          <w:rFonts w:cs="Calibri"/>
        </w:rPr>
        <w:t>T</w:t>
      </w:r>
      <w:r w:rsidRPr="00324EF4">
        <w:rPr>
          <w:rFonts w:cs="Calibri"/>
        </w:rPr>
        <w:t xml:space="preserve">utor e </w:t>
      </w:r>
      <w:r>
        <w:rPr>
          <w:rFonts w:cs="Calibri"/>
        </w:rPr>
        <w:t>i C</w:t>
      </w:r>
      <w:r w:rsidRPr="00324EF4">
        <w:rPr>
          <w:rFonts w:cs="Calibri"/>
        </w:rPr>
        <w:t>o-</w:t>
      </w:r>
      <w:r>
        <w:rPr>
          <w:rFonts w:cs="Calibri"/>
        </w:rPr>
        <w:t>T</w:t>
      </w:r>
      <w:r w:rsidRPr="00324EF4">
        <w:rPr>
          <w:rFonts w:cs="Calibri"/>
        </w:rPr>
        <w:t xml:space="preserve">utor garantiscono che la ricerca svolta dai </w:t>
      </w:r>
      <w:r>
        <w:rPr>
          <w:rFonts w:cs="Calibri"/>
        </w:rPr>
        <w:t>Dottoran</w:t>
      </w:r>
      <w:r w:rsidRPr="00324EF4">
        <w:rPr>
          <w:rFonts w:cs="Calibri"/>
        </w:rPr>
        <w:t xml:space="preserve">di generi prodotti direttamente riconducibili ad essi, favorendo la pubblicazione dei </w:t>
      </w:r>
      <w:r w:rsidRPr="00324EF4">
        <w:rPr>
          <w:rFonts w:cs="Calibri"/>
        </w:rPr>
        <w:lastRenderedPageBreak/>
        <w:t>risultati della ricerca in articoli su riviste scientifiche, valorizzati anche attraverso l’acquisizione di crediti formativi. Compatibilmente con i meccanismi di protezione intellettuale</w:t>
      </w:r>
      <w:r>
        <w:rPr>
          <w:rFonts w:cs="Calibri"/>
        </w:rPr>
        <w:t>,</w:t>
      </w:r>
      <w:r w:rsidRPr="00324EF4">
        <w:rPr>
          <w:rFonts w:cs="Calibri"/>
        </w:rPr>
        <w:t xml:space="preserve"> il </w:t>
      </w:r>
      <w:r>
        <w:rPr>
          <w:rFonts w:cs="Calibri"/>
        </w:rPr>
        <w:t>Collegio dei Docenti</w:t>
      </w:r>
      <w:r w:rsidRPr="00324EF4">
        <w:rPr>
          <w:rFonts w:cs="Calibri"/>
        </w:rPr>
        <w:t xml:space="preserve"> promuove la collaborazione e la condivisione dei risultati con modalità di </w:t>
      </w:r>
      <w:r w:rsidRPr="00A16857">
        <w:rPr>
          <w:rFonts w:cs="Calibri"/>
          <w:i/>
          <w:iCs/>
        </w:rPr>
        <w:t>open science</w:t>
      </w:r>
      <w:r w:rsidRPr="00324EF4">
        <w:rPr>
          <w:rFonts w:cs="Calibri"/>
        </w:rPr>
        <w:t>.</w:t>
      </w:r>
    </w:p>
    <w:p w14:paraId="390114F8" w14:textId="77777777" w:rsidR="00E83924" w:rsidRPr="00324EF4" w:rsidRDefault="00E83924" w:rsidP="00E83924">
      <w:pPr>
        <w:spacing w:after="120"/>
        <w:rPr>
          <w:rFonts w:cs="Calibri"/>
        </w:rPr>
      </w:pPr>
      <w:r w:rsidRPr="00324EF4">
        <w:rPr>
          <w:rFonts w:cs="Calibri"/>
        </w:rPr>
        <w:t xml:space="preserve">Il CSTE mette a disposizione dei </w:t>
      </w:r>
      <w:r>
        <w:rPr>
          <w:rFonts w:cs="Calibri"/>
        </w:rPr>
        <w:t>Dottoran</w:t>
      </w:r>
      <w:r w:rsidRPr="00324EF4">
        <w:rPr>
          <w:rFonts w:cs="Calibri"/>
        </w:rPr>
        <w:t xml:space="preserve">di la sede assegnata dall’Ateneo di Palermo in cui è disponibile un ambiente comune dotato di alcune postazioni informatiche e utilizzabile anche per organizzare lavori di gruppo, </w:t>
      </w:r>
      <w:proofErr w:type="gramStart"/>
      <w:r w:rsidRPr="00A16857">
        <w:rPr>
          <w:rFonts w:cs="Calibri"/>
          <w:i/>
          <w:iCs/>
        </w:rPr>
        <w:t>meeting</w:t>
      </w:r>
      <w:r w:rsidRPr="00324EF4">
        <w:rPr>
          <w:rFonts w:cs="Calibri"/>
        </w:rPr>
        <w:t xml:space="preserve"> interdisciplinari</w:t>
      </w:r>
      <w:proofErr w:type="gramEnd"/>
      <w:r w:rsidRPr="00324EF4">
        <w:rPr>
          <w:rFonts w:cs="Calibri"/>
        </w:rPr>
        <w:t xml:space="preserve">, incontri con </w:t>
      </w:r>
      <w:r>
        <w:rPr>
          <w:rFonts w:cs="Calibri"/>
        </w:rPr>
        <w:t>T</w:t>
      </w:r>
      <w:r w:rsidRPr="00324EF4">
        <w:rPr>
          <w:rFonts w:cs="Calibri"/>
        </w:rPr>
        <w:t xml:space="preserve">utor e </w:t>
      </w:r>
      <w:r>
        <w:rPr>
          <w:rFonts w:cs="Calibri"/>
        </w:rPr>
        <w:t>C</w:t>
      </w:r>
      <w:r w:rsidRPr="00324EF4">
        <w:rPr>
          <w:rFonts w:cs="Calibri"/>
        </w:rPr>
        <w:t>o-</w:t>
      </w:r>
      <w:r>
        <w:rPr>
          <w:rFonts w:cs="Calibri"/>
        </w:rPr>
        <w:t>T</w:t>
      </w:r>
      <w:r w:rsidRPr="00324EF4">
        <w:rPr>
          <w:rFonts w:cs="Calibri"/>
        </w:rPr>
        <w:t>utor</w:t>
      </w:r>
      <w:r>
        <w:rPr>
          <w:rFonts w:cs="Calibri"/>
        </w:rPr>
        <w:t>, incontri tra Dottorandi</w:t>
      </w:r>
      <w:r w:rsidRPr="00324EF4">
        <w:rPr>
          <w:rFonts w:cs="Calibri"/>
        </w:rPr>
        <w:t xml:space="preserve">. Per le attività di ricerca, i </w:t>
      </w:r>
      <w:r>
        <w:rPr>
          <w:rFonts w:cs="Calibri"/>
        </w:rPr>
        <w:t>Dottoran</w:t>
      </w:r>
      <w:r w:rsidRPr="00324EF4">
        <w:rPr>
          <w:rFonts w:cs="Calibri"/>
        </w:rPr>
        <w:t xml:space="preserve">di si avvalgono di spazi e strumentazioni di cui dispongono o che sono in utilizzo dei </w:t>
      </w:r>
      <w:r>
        <w:rPr>
          <w:rFonts w:cs="Calibri"/>
        </w:rPr>
        <w:t>T</w:t>
      </w:r>
      <w:r w:rsidRPr="00324EF4">
        <w:rPr>
          <w:rFonts w:cs="Calibri"/>
        </w:rPr>
        <w:t xml:space="preserve">utor e </w:t>
      </w:r>
      <w:r>
        <w:rPr>
          <w:rFonts w:cs="Calibri"/>
        </w:rPr>
        <w:t>C</w:t>
      </w:r>
      <w:r w:rsidRPr="00324EF4">
        <w:rPr>
          <w:rFonts w:cs="Calibri"/>
        </w:rPr>
        <w:t>o-</w:t>
      </w:r>
      <w:r>
        <w:rPr>
          <w:rFonts w:cs="Calibri"/>
        </w:rPr>
        <w:t>T</w:t>
      </w:r>
      <w:r w:rsidRPr="00324EF4">
        <w:rPr>
          <w:rFonts w:cs="Calibri"/>
        </w:rPr>
        <w:t xml:space="preserve">utor presso i rispettivi dipartimenti di appartenenza, previa richiesta di frequenza degli spazi avanzata ai </w:t>
      </w:r>
      <w:r>
        <w:rPr>
          <w:rFonts w:cs="Calibri"/>
        </w:rPr>
        <w:t>c</w:t>
      </w:r>
      <w:r w:rsidRPr="00324EF4">
        <w:rPr>
          <w:rFonts w:cs="Calibri"/>
        </w:rPr>
        <w:t xml:space="preserve">onsigli di </w:t>
      </w:r>
      <w:r>
        <w:rPr>
          <w:rFonts w:cs="Calibri"/>
        </w:rPr>
        <w:t>d</w:t>
      </w:r>
      <w:r w:rsidRPr="00324EF4">
        <w:rPr>
          <w:rFonts w:cs="Calibri"/>
        </w:rPr>
        <w:t>ipartimento.</w:t>
      </w:r>
    </w:p>
    <w:p w14:paraId="798E3FB0" w14:textId="77777777" w:rsidR="00E83924" w:rsidRPr="00324EF4" w:rsidRDefault="00E83924" w:rsidP="00E83924">
      <w:pPr>
        <w:spacing w:after="120"/>
        <w:rPr>
          <w:rFonts w:eastAsia="Times New Roman" w:cs="Calibri"/>
          <w:lang w:eastAsia="it-IT"/>
        </w:rPr>
      </w:pPr>
    </w:p>
    <w:p w14:paraId="612E3BB8" w14:textId="77777777" w:rsidR="00E83924" w:rsidRPr="00324EF4" w:rsidRDefault="00E83924" w:rsidP="00E83924">
      <w:pPr>
        <w:pStyle w:val="Paragrafoelenco"/>
        <w:numPr>
          <w:ilvl w:val="1"/>
          <w:numId w:val="12"/>
        </w:numPr>
        <w:suppressAutoHyphens/>
        <w:autoSpaceDN w:val="0"/>
        <w:spacing w:after="120"/>
        <w:ind w:left="426" w:hanging="426"/>
        <w:rPr>
          <w:rFonts w:cs="Calibri"/>
          <w:b/>
          <w:bCs/>
          <w:sz w:val="22"/>
          <w:szCs w:val="22"/>
        </w:rPr>
      </w:pPr>
      <w:r w:rsidRPr="00603E0C">
        <w:rPr>
          <w:rFonts w:cs="Calibri"/>
          <w:b/>
          <w:bCs/>
          <w:sz w:val="22"/>
          <w:szCs w:val="22"/>
        </w:rPr>
        <w:t>Monitoraggio e miglioramento delle attività</w:t>
      </w:r>
    </w:p>
    <w:p w14:paraId="45B5FA8E" w14:textId="77777777" w:rsidR="00E83924" w:rsidRPr="00603E0C" w:rsidRDefault="00E83924" w:rsidP="00E83924">
      <w:pPr>
        <w:spacing w:after="120"/>
        <w:rPr>
          <w:rFonts w:eastAsia="Times New Roman" w:cs="Calibri"/>
          <w:b/>
          <w:bCs/>
          <w:i/>
          <w:iCs/>
          <w:lang w:eastAsia="it-IT"/>
        </w:rPr>
      </w:pPr>
      <w:r w:rsidRPr="00603E0C">
        <w:rPr>
          <w:rFonts w:eastAsia="Times New Roman" w:cs="Calibri"/>
          <w:b/>
          <w:bCs/>
          <w:i/>
          <w:iCs/>
          <w:lang w:eastAsia="it-IT"/>
        </w:rPr>
        <w:t xml:space="preserve">3.1 Sistema di monitoraggio dei processi e dei risultati relativi alle attività di ricerca, didattica e terza missione/impatto sociale e di ascolto dei </w:t>
      </w:r>
      <w:r>
        <w:rPr>
          <w:rFonts w:eastAsia="Times New Roman" w:cs="Calibri"/>
          <w:b/>
          <w:bCs/>
          <w:i/>
          <w:iCs/>
          <w:lang w:eastAsia="it-IT"/>
        </w:rPr>
        <w:t>Dottoran</w:t>
      </w:r>
      <w:r w:rsidRPr="00603E0C">
        <w:rPr>
          <w:rFonts w:eastAsia="Times New Roman" w:cs="Calibri"/>
          <w:b/>
          <w:bCs/>
          <w:i/>
          <w:iCs/>
          <w:lang w:eastAsia="it-IT"/>
        </w:rPr>
        <w:t>di</w:t>
      </w:r>
    </w:p>
    <w:p w14:paraId="7159E4F6" w14:textId="201C7F4A" w:rsidR="00E83924" w:rsidRPr="00324EF4" w:rsidRDefault="00E83924" w:rsidP="00E83924">
      <w:pPr>
        <w:spacing w:after="120"/>
        <w:rPr>
          <w:rFonts w:eastAsia="Times New Roman" w:cs="Calibri"/>
          <w:lang w:eastAsia="it-IT"/>
        </w:rPr>
      </w:pPr>
      <w:r w:rsidRPr="00603E0C">
        <w:rPr>
          <w:rFonts w:eastAsia="Times New Roman" w:cs="Calibri"/>
          <w:lang w:eastAsia="it-IT"/>
        </w:rPr>
        <w:t xml:space="preserve">Il monitoraggio ha luogo attraverso l’analisi del percorso formativo e di ricerca dei </w:t>
      </w:r>
      <w:r>
        <w:rPr>
          <w:rFonts w:eastAsia="Times New Roman" w:cs="Calibri"/>
          <w:lang w:eastAsia="it-IT"/>
        </w:rPr>
        <w:t>Dottoran</w:t>
      </w:r>
      <w:r w:rsidRPr="00603E0C">
        <w:rPr>
          <w:rFonts w:eastAsia="Times New Roman" w:cs="Calibri"/>
          <w:lang w:eastAsia="it-IT"/>
        </w:rPr>
        <w:t xml:space="preserve">di ivi compresi i periodi di ricerca all’estero, della partecipazione </w:t>
      </w:r>
      <w:r w:rsidR="00794900">
        <w:rPr>
          <w:rFonts w:eastAsia="Times New Roman" w:cs="Calibri"/>
          <w:lang w:eastAsia="it-IT"/>
        </w:rPr>
        <w:t xml:space="preserve">ai </w:t>
      </w:r>
      <w:r w:rsidRPr="00603E0C">
        <w:rPr>
          <w:rFonts w:eastAsia="Times New Roman" w:cs="Calibri"/>
          <w:lang w:eastAsia="it-IT"/>
        </w:rPr>
        <w:t xml:space="preserve">congressi, della qualità e quantità della produzione scientifica dei </w:t>
      </w:r>
      <w:r>
        <w:rPr>
          <w:rFonts w:eastAsia="Times New Roman" w:cs="Calibri"/>
          <w:lang w:eastAsia="it-IT"/>
        </w:rPr>
        <w:t>Dottoran</w:t>
      </w:r>
      <w:r w:rsidRPr="00603E0C">
        <w:rPr>
          <w:rFonts w:eastAsia="Times New Roman" w:cs="Calibri"/>
          <w:lang w:eastAsia="it-IT"/>
        </w:rPr>
        <w:t xml:space="preserve">di. </w:t>
      </w:r>
      <w:r>
        <w:rPr>
          <w:rFonts w:eastAsia="Times New Roman" w:cs="Calibri"/>
          <w:lang w:eastAsia="it-IT"/>
        </w:rPr>
        <w:t>Nello specifico, i</w:t>
      </w:r>
      <w:r w:rsidRPr="00324EF4">
        <w:rPr>
          <w:rFonts w:eastAsia="Times New Roman" w:cs="Calibri"/>
          <w:lang w:eastAsia="it-IT"/>
        </w:rPr>
        <w:t xml:space="preserve">l </w:t>
      </w:r>
      <w:r>
        <w:rPr>
          <w:rFonts w:eastAsia="Times New Roman" w:cs="Calibri"/>
          <w:lang w:eastAsia="it-IT"/>
        </w:rPr>
        <w:t>Corso di Dottorato</w:t>
      </w:r>
      <w:r w:rsidRPr="00324EF4">
        <w:rPr>
          <w:rFonts w:eastAsia="Times New Roman" w:cs="Calibri"/>
          <w:lang w:eastAsia="it-IT"/>
        </w:rPr>
        <w:t xml:space="preserve"> si avvale </w:t>
      </w:r>
      <w:r>
        <w:rPr>
          <w:rFonts w:eastAsia="Times New Roman" w:cs="Calibri"/>
          <w:lang w:eastAsia="it-IT"/>
        </w:rPr>
        <w:t xml:space="preserve">dei seguenti </w:t>
      </w:r>
      <w:r w:rsidRPr="00324EF4">
        <w:rPr>
          <w:rFonts w:eastAsia="Times New Roman" w:cs="Calibri"/>
          <w:lang w:eastAsia="it-IT"/>
        </w:rPr>
        <w:t xml:space="preserve">indicatori per monitorare i risultati conseguiti dai </w:t>
      </w:r>
      <w:r>
        <w:rPr>
          <w:rFonts w:eastAsia="Times New Roman" w:cs="Calibri"/>
          <w:lang w:eastAsia="it-IT"/>
        </w:rPr>
        <w:t>Dottoran</w:t>
      </w:r>
      <w:r w:rsidRPr="00324EF4">
        <w:rPr>
          <w:rFonts w:eastAsia="Times New Roman" w:cs="Calibri"/>
          <w:lang w:eastAsia="it-IT"/>
        </w:rPr>
        <w:t xml:space="preserve">di e dai </w:t>
      </w:r>
      <w:r>
        <w:rPr>
          <w:rFonts w:eastAsia="Times New Roman" w:cs="Calibri"/>
          <w:lang w:eastAsia="it-IT"/>
        </w:rPr>
        <w:t>Dottori di Ricerca</w:t>
      </w:r>
      <w:r w:rsidRPr="00324EF4">
        <w:rPr>
          <w:rFonts w:eastAsia="Times New Roman" w:cs="Calibri"/>
          <w:lang w:eastAsia="it-IT"/>
        </w:rPr>
        <w:t>:</w:t>
      </w:r>
    </w:p>
    <w:p w14:paraId="20B1A73B" w14:textId="77777777" w:rsidR="00E83924" w:rsidRPr="00324EF4" w:rsidRDefault="00E83924" w:rsidP="00E83924">
      <w:pPr>
        <w:numPr>
          <w:ilvl w:val="0"/>
          <w:numId w:val="14"/>
        </w:numPr>
        <w:shd w:val="clear" w:color="auto" w:fill="FFFFFF"/>
        <w:suppressAutoHyphens/>
        <w:autoSpaceDN w:val="0"/>
        <w:spacing w:before="100" w:after="120"/>
        <w:rPr>
          <w:rFonts w:eastAsia="Times New Roman" w:cs="Calibri"/>
          <w:lang w:eastAsia="it-IT"/>
        </w:rPr>
      </w:pPr>
      <w:r w:rsidRPr="00324EF4">
        <w:rPr>
          <w:rFonts w:eastAsia="Times New Roman" w:cs="Calibri"/>
          <w:lang w:eastAsia="it-IT"/>
        </w:rPr>
        <w:t xml:space="preserve">percentuale di iscritti e iscritte al primo anno di </w:t>
      </w:r>
      <w:r>
        <w:rPr>
          <w:rFonts w:eastAsia="Times New Roman" w:cs="Calibri"/>
          <w:lang w:eastAsia="it-IT"/>
        </w:rPr>
        <w:t>d</w:t>
      </w:r>
      <w:r w:rsidRPr="00324EF4">
        <w:rPr>
          <w:rFonts w:eastAsia="Times New Roman" w:cs="Calibri"/>
          <w:lang w:eastAsia="it-IT"/>
        </w:rPr>
        <w:t xml:space="preserve">ottorato che hanno conseguito il titolo di accesso in altro Ateneo; </w:t>
      </w:r>
    </w:p>
    <w:p w14:paraId="5A6951A2" w14:textId="77777777" w:rsidR="00E83924" w:rsidRPr="00324EF4" w:rsidRDefault="00E83924" w:rsidP="00E83924">
      <w:pPr>
        <w:numPr>
          <w:ilvl w:val="0"/>
          <w:numId w:val="14"/>
        </w:numPr>
        <w:shd w:val="clear" w:color="auto" w:fill="FFFFFF"/>
        <w:suppressAutoHyphens/>
        <w:autoSpaceDN w:val="0"/>
        <w:spacing w:before="100" w:after="120"/>
        <w:rPr>
          <w:rFonts w:eastAsia="Times New Roman" w:cs="Calibri"/>
          <w:lang w:eastAsia="it-IT"/>
        </w:rPr>
      </w:pPr>
      <w:r w:rsidRPr="00324EF4">
        <w:rPr>
          <w:rFonts w:eastAsia="Times New Roman" w:cs="Calibri"/>
          <w:lang w:eastAsia="it-IT"/>
        </w:rPr>
        <w:t xml:space="preserve">percentuale di iscritti e iscritte al primo anno di </w:t>
      </w:r>
      <w:r>
        <w:rPr>
          <w:rFonts w:eastAsia="Times New Roman" w:cs="Calibri"/>
          <w:lang w:eastAsia="it-IT"/>
        </w:rPr>
        <w:t>d</w:t>
      </w:r>
      <w:r w:rsidRPr="00324EF4">
        <w:rPr>
          <w:rFonts w:eastAsia="Times New Roman" w:cs="Calibri"/>
          <w:lang w:eastAsia="it-IT"/>
        </w:rPr>
        <w:t xml:space="preserve">ottorato che hanno conseguito il titolo di studio di accesso all’estero; </w:t>
      </w:r>
    </w:p>
    <w:p w14:paraId="156D8D78" w14:textId="77777777" w:rsidR="00E83924" w:rsidRPr="00324EF4" w:rsidRDefault="00E83924" w:rsidP="00E83924">
      <w:pPr>
        <w:numPr>
          <w:ilvl w:val="0"/>
          <w:numId w:val="14"/>
        </w:numPr>
        <w:shd w:val="clear" w:color="auto" w:fill="FFFFFF"/>
        <w:suppressAutoHyphens/>
        <w:autoSpaceDN w:val="0"/>
        <w:spacing w:before="100" w:after="120"/>
        <w:rPr>
          <w:rFonts w:eastAsia="Times New Roman" w:cs="Calibri"/>
          <w:lang w:eastAsia="it-IT"/>
        </w:rPr>
      </w:pPr>
      <w:r w:rsidRPr="00324EF4">
        <w:rPr>
          <w:rFonts w:eastAsia="Times New Roman" w:cs="Calibri"/>
          <w:lang w:eastAsia="it-IT"/>
        </w:rPr>
        <w:t xml:space="preserve">percentuale di </w:t>
      </w:r>
      <w:r>
        <w:rPr>
          <w:rFonts w:eastAsia="Times New Roman" w:cs="Calibri"/>
          <w:lang w:eastAsia="it-IT"/>
        </w:rPr>
        <w:t>D</w:t>
      </w:r>
      <w:r w:rsidRPr="00324EF4">
        <w:rPr>
          <w:rFonts w:eastAsia="Times New Roman" w:cs="Calibri"/>
          <w:lang w:eastAsia="it-IT"/>
        </w:rPr>
        <w:t xml:space="preserve">ottori e </w:t>
      </w:r>
      <w:r>
        <w:rPr>
          <w:rFonts w:eastAsia="Times New Roman" w:cs="Calibri"/>
          <w:lang w:eastAsia="it-IT"/>
        </w:rPr>
        <w:t>D</w:t>
      </w:r>
      <w:r w:rsidRPr="00324EF4">
        <w:rPr>
          <w:rFonts w:eastAsia="Times New Roman" w:cs="Calibri"/>
          <w:lang w:eastAsia="it-IT"/>
        </w:rPr>
        <w:t xml:space="preserve">ottoresse di </w:t>
      </w:r>
      <w:r>
        <w:rPr>
          <w:rFonts w:eastAsia="Times New Roman" w:cs="Calibri"/>
          <w:lang w:eastAsia="it-IT"/>
        </w:rPr>
        <w:t>R</w:t>
      </w:r>
      <w:r w:rsidRPr="00324EF4">
        <w:rPr>
          <w:rFonts w:eastAsia="Times New Roman" w:cs="Calibri"/>
          <w:lang w:eastAsia="it-IT"/>
        </w:rPr>
        <w:t>icerca che hanno trascorso almeno tre mesi all’estero;</w:t>
      </w:r>
    </w:p>
    <w:p w14:paraId="26D8F15D" w14:textId="77777777" w:rsidR="00E83924" w:rsidRPr="00324EF4" w:rsidRDefault="00E83924" w:rsidP="00E83924">
      <w:pPr>
        <w:numPr>
          <w:ilvl w:val="0"/>
          <w:numId w:val="14"/>
        </w:numPr>
        <w:shd w:val="clear" w:color="auto" w:fill="FFFFFF"/>
        <w:suppressAutoHyphens/>
        <w:autoSpaceDN w:val="0"/>
        <w:spacing w:before="100" w:after="120"/>
        <w:rPr>
          <w:rFonts w:eastAsia="Times New Roman" w:cs="Calibri"/>
          <w:lang w:eastAsia="it-IT"/>
        </w:rPr>
      </w:pPr>
      <w:r w:rsidRPr="00324EF4">
        <w:rPr>
          <w:rFonts w:eastAsia="Times New Roman" w:cs="Calibri"/>
          <w:lang w:eastAsia="it-IT"/>
        </w:rPr>
        <w:t xml:space="preserve">percentuale di borse di studio finanziate da Enti esterni; </w:t>
      </w:r>
    </w:p>
    <w:p w14:paraId="6BB03C2C" w14:textId="77777777" w:rsidR="00E83924" w:rsidRPr="00324EF4" w:rsidRDefault="00E83924" w:rsidP="00E83924">
      <w:pPr>
        <w:numPr>
          <w:ilvl w:val="0"/>
          <w:numId w:val="14"/>
        </w:numPr>
        <w:shd w:val="clear" w:color="auto" w:fill="FFFFFF"/>
        <w:suppressAutoHyphens/>
        <w:autoSpaceDN w:val="0"/>
        <w:spacing w:before="100" w:after="120"/>
        <w:rPr>
          <w:rFonts w:eastAsia="Times New Roman" w:cs="Calibri"/>
          <w:lang w:eastAsia="it-IT"/>
        </w:rPr>
      </w:pPr>
      <w:r w:rsidRPr="00324EF4">
        <w:rPr>
          <w:rFonts w:eastAsia="Times New Roman" w:cs="Calibri"/>
          <w:lang w:eastAsia="it-IT"/>
        </w:rPr>
        <w:t xml:space="preserve">percentuale di </w:t>
      </w:r>
      <w:r>
        <w:rPr>
          <w:rFonts w:eastAsia="Times New Roman" w:cs="Calibri"/>
          <w:lang w:eastAsia="it-IT"/>
        </w:rPr>
        <w:t>D</w:t>
      </w:r>
      <w:r w:rsidRPr="00324EF4">
        <w:rPr>
          <w:rFonts w:eastAsia="Times New Roman" w:cs="Calibri"/>
          <w:lang w:eastAsia="it-IT"/>
        </w:rPr>
        <w:t xml:space="preserve">ottori e </w:t>
      </w:r>
      <w:r>
        <w:rPr>
          <w:rFonts w:eastAsia="Times New Roman" w:cs="Calibri"/>
          <w:lang w:eastAsia="it-IT"/>
        </w:rPr>
        <w:t>D</w:t>
      </w:r>
      <w:r w:rsidRPr="00324EF4">
        <w:rPr>
          <w:rFonts w:eastAsia="Times New Roman" w:cs="Calibri"/>
          <w:lang w:eastAsia="it-IT"/>
        </w:rPr>
        <w:t xml:space="preserve">ottoresse di </w:t>
      </w:r>
      <w:r>
        <w:rPr>
          <w:rFonts w:eastAsia="Times New Roman" w:cs="Calibri"/>
          <w:lang w:eastAsia="it-IT"/>
        </w:rPr>
        <w:t>R</w:t>
      </w:r>
      <w:r w:rsidRPr="00324EF4">
        <w:rPr>
          <w:rFonts w:eastAsia="Times New Roman" w:cs="Calibri"/>
          <w:lang w:eastAsia="it-IT"/>
        </w:rPr>
        <w:t xml:space="preserve">icerca che hanno trascorso almeno sei mesi del percorso formativo in Istituzioni pubbliche o private, diverse dalla sede dei </w:t>
      </w:r>
      <w:r>
        <w:rPr>
          <w:rFonts w:eastAsia="Times New Roman" w:cs="Calibri"/>
          <w:lang w:eastAsia="it-IT"/>
        </w:rPr>
        <w:t>c</w:t>
      </w:r>
      <w:r w:rsidRPr="00324EF4">
        <w:rPr>
          <w:rFonts w:eastAsia="Times New Roman" w:cs="Calibri"/>
          <w:lang w:eastAsia="it-IT"/>
        </w:rPr>
        <w:t xml:space="preserve">orsi di </w:t>
      </w:r>
      <w:r>
        <w:rPr>
          <w:rFonts w:eastAsia="Times New Roman" w:cs="Calibri"/>
          <w:lang w:eastAsia="it-IT"/>
        </w:rPr>
        <w:t>d</w:t>
      </w:r>
      <w:r w:rsidRPr="00324EF4">
        <w:rPr>
          <w:rFonts w:eastAsia="Times New Roman" w:cs="Calibri"/>
          <w:lang w:eastAsia="it-IT"/>
        </w:rPr>
        <w:t xml:space="preserve">ottorato di </w:t>
      </w:r>
      <w:r>
        <w:rPr>
          <w:rFonts w:eastAsia="Times New Roman" w:cs="Calibri"/>
          <w:lang w:eastAsia="it-IT"/>
        </w:rPr>
        <w:t>r</w:t>
      </w:r>
      <w:r w:rsidRPr="00324EF4">
        <w:rPr>
          <w:rFonts w:eastAsia="Times New Roman" w:cs="Calibri"/>
          <w:lang w:eastAsia="it-IT"/>
        </w:rPr>
        <w:t xml:space="preserve">icerca (include mesi trascorsi all’estero); </w:t>
      </w:r>
    </w:p>
    <w:p w14:paraId="63015772" w14:textId="77777777" w:rsidR="00E83924" w:rsidRPr="00324EF4" w:rsidRDefault="00E83924" w:rsidP="00E83924">
      <w:pPr>
        <w:numPr>
          <w:ilvl w:val="0"/>
          <w:numId w:val="14"/>
        </w:numPr>
        <w:shd w:val="clear" w:color="auto" w:fill="FFFFFF"/>
        <w:suppressAutoHyphens/>
        <w:autoSpaceDN w:val="0"/>
        <w:spacing w:before="100" w:after="120"/>
        <w:rPr>
          <w:rFonts w:eastAsia="Times New Roman" w:cs="Calibri"/>
          <w:lang w:eastAsia="it-IT"/>
        </w:rPr>
      </w:pPr>
      <w:r w:rsidRPr="00324EF4">
        <w:rPr>
          <w:rFonts w:eastAsia="Times New Roman" w:cs="Calibri"/>
          <w:lang w:eastAsia="it-IT"/>
        </w:rPr>
        <w:t xml:space="preserve">numero di prodotti della ricerca generati dai </w:t>
      </w:r>
      <w:r>
        <w:rPr>
          <w:rFonts w:eastAsia="Times New Roman" w:cs="Calibri"/>
          <w:lang w:eastAsia="it-IT"/>
        </w:rPr>
        <w:t>D</w:t>
      </w:r>
      <w:r w:rsidRPr="00324EF4">
        <w:rPr>
          <w:rFonts w:eastAsia="Times New Roman" w:cs="Calibri"/>
          <w:lang w:eastAsia="it-IT"/>
        </w:rPr>
        <w:t xml:space="preserve">ottori e </w:t>
      </w:r>
      <w:r>
        <w:rPr>
          <w:rFonts w:eastAsia="Times New Roman" w:cs="Calibri"/>
          <w:lang w:eastAsia="it-IT"/>
        </w:rPr>
        <w:t>D</w:t>
      </w:r>
      <w:r w:rsidRPr="00324EF4">
        <w:rPr>
          <w:rFonts w:eastAsia="Times New Roman" w:cs="Calibri"/>
          <w:lang w:eastAsia="it-IT"/>
        </w:rPr>
        <w:t xml:space="preserve">ottoresse di </w:t>
      </w:r>
      <w:r>
        <w:rPr>
          <w:rFonts w:eastAsia="Times New Roman" w:cs="Calibri"/>
          <w:lang w:eastAsia="it-IT"/>
        </w:rPr>
        <w:t>R</w:t>
      </w:r>
      <w:r w:rsidRPr="00324EF4">
        <w:rPr>
          <w:rFonts w:eastAsia="Times New Roman" w:cs="Calibri"/>
          <w:lang w:eastAsia="it-IT"/>
        </w:rPr>
        <w:t xml:space="preserve">icerca entro un anno dalla conclusione del percorso; </w:t>
      </w:r>
    </w:p>
    <w:p w14:paraId="4584AD2B" w14:textId="77777777" w:rsidR="00E83924" w:rsidRPr="00324EF4" w:rsidRDefault="00E83924" w:rsidP="00E83924">
      <w:pPr>
        <w:numPr>
          <w:ilvl w:val="0"/>
          <w:numId w:val="14"/>
        </w:numPr>
        <w:shd w:val="clear" w:color="auto" w:fill="FFFFFF"/>
        <w:suppressAutoHyphens/>
        <w:autoSpaceDN w:val="0"/>
        <w:spacing w:before="100" w:after="120"/>
        <w:rPr>
          <w:rFonts w:eastAsia="Times New Roman" w:cs="Calibri"/>
          <w:lang w:eastAsia="it-IT"/>
        </w:rPr>
      </w:pPr>
      <w:r w:rsidRPr="00324EF4">
        <w:rPr>
          <w:rFonts w:eastAsia="Times New Roman" w:cs="Calibri"/>
          <w:lang w:eastAsia="it-IT"/>
        </w:rPr>
        <w:t xml:space="preserve">presenza di un sistema di rilevazione delle opinioni dei </w:t>
      </w:r>
      <w:r>
        <w:rPr>
          <w:rFonts w:eastAsia="Times New Roman" w:cs="Calibri"/>
          <w:lang w:eastAsia="it-IT"/>
        </w:rPr>
        <w:t>Dottoran</w:t>
      </w:r>
      <w:r w:rsidRPr="00324EF4">
        <w:rPr>
          <w:rFonts w:eastAsia="Times New Roman" w:cs="Calibri"/>
          <w:lang w:eastAsia="it-IT"/>
        </w:rPr>
        <w:t xml:space="preserve">di durante il corso e dei </w:t>
      </w:r>
      <w:r>
        <w:rPr>
          <w:rFonts w:eastAsia="Times New Roman" w:cs="Calibri"/>
          <w:lang w:eastAsia="it-IT"/>
        </w:rPr>
        <w:t>Dottori di Ricerca</w:t>
      </w:r>
      <w:r w:rsidRPr="00324EF4">
        <w:rPr>
          <w:rFonts w:eastAsia="Times New Roman" w:cs="Calibri"/>
          <w:lang w:eastAsia="it-IT"/>
        </w:rPr>
        <w:t xml:space="preserve"> ad un anno dall’ottenimento del titolo. </w:t>
      </w:r>
    </w:p>
    <w:p w14:paraId="0DF43506" w14:textId="217079F5" w:rsidR="00E83924" w:rsidRDefault="00E83924" w:rsidP="00E83924">
      <w:pPr>
        <w:spacing w:after="120"/>
        <w:rPr>
          <w:rFonts w:cs="Calibri"/>
        </w:rPr>
      </w:pPr>
      <w:r w:rsidRPr="003E63F1">
        <w:rPr>
          <w:rFonts w:eastAsia="Times New Roman" w:cs="Calibri"/>
          <w:lang w:eastAsia="it-IT"/>
        </w:rPr>
        <w:t xml:space="preserve">L’ascolto dei Dottorandi si effettua attraverso questionari </w:t>
      </w:r>
      <w:r w:rsidR="003E63F1" w:rsidRPr="003E63F1">
        <w:rPr>
          <w:rFonts w:cs="Calibri"/>
        </w:rPr>
        <w:t>predisposti dal PQA sul modello dell'Agenzia Nazionale di Valutazione del Sistema Universitario e della Ricerca (ANVUR)</w:t>
      </w:r>
      <w:r w:rsidRPr="003E63F1">
        <w:rPr>
          <w:rFonts w:eastAsia="Times New Roman" w:cs="Calibri"/>
          <w:lang w:eastAsia="it-IT"/>
        </w:rPr>
        <w:t xml:space="preserve">; viene anche rilevata l’opinione dei Dottori di Ricerca. Il questionario </w:t>
      </w:r>
      <w:r w:rsidR="003E63F1" w:rsidRPr="003E63F1">
        <w:rPr>
          <w:rFonts w:eastAsia="Times New Roman" w:cs="Calibri"/>
          <w:lang w:eastAsia="it-IT"/>
        </w:rPr>
        <w:t>viene compilato d</w:t>
      </w:r>
      <w:r w:rsidRPr="003E63F1">
        <w:rPr>
          <w:rFonts w:eastAsia="Times New Roman" w:cs="Calibri"/>
          <w:lang w:eastAsia="it-IT"/>
        </w:rPr>
        <w:t xml:space="preserve">ai Dottorandi </w:t>
      </w:r>
      <w:r w:rsidR="003E63F1" w:rsidRPr="003E63F1">
        <w:rPr>
          <w:rFonts w:eastAsia="Times New Roman" w:cs="Calibri"/>
          <w:lang w:eastAsia="it-IT"/>
        </w:rPr>
        <w:t xml:space="preserve">online in forma anonima </w:t>
      </w:r>
      <w:r w:rsidRPr="003E63F1">
        <w:rPr>
          <w:rFonts w:eastAsia="Times New Roman" w:cs="Calibri"/>
          <w:lang w:eastAsia="it-IT"/>
        </w:rPr>
        <w:t xml:space="preserve">alla fine del </w:t>
      </w:r>
      <w:r w:rsidRPr="003E63F1">
        <w:rPr>
          <w:rFonts w:eastAsia="Times New Roman" w:cs="Calibri"/>
          <w:lang w:eastAsia="it-IT"/>
        </w:rPr>
        <w:lastRenderedPageBreak/>
        <w:t xml:space="preserve">primo e del secondo anno, mentre un </w:t>
      </w:r>
      <w:r w:rsidRPr="003E63F1">
        <w:rPr>
          <w:rFonts w:cs="Calibri"/>
        </w:rPr>
        <w:t>differente questionario viene somministrato ai Dottori di Ricerca ad un anno dall’ottenimento del titolo.</w:t>
      </w:r>
      <w:r w:rsidRPr="00324EF4">
        <w:rPr>
          <w:rFonts w:cs="Calibri"/>
        </w:rPr>
        <w:t xml:space="preserve"> </w:t>
      </w:r>
    </w:p>
    <w:p w14:paraId="6CA2D7F5" w14:textId="4868C395" w:rsidR="00E83924" w:rsidRPr="00605FDD" w:rsidRDefault="00E83924" w:rsidP="00E83924">
      <w:pPr>
        <w:spacing w:after="120"/>
        <w:rPr>
          <w:rFonts w:eastAsia="Times New Roman" w:cs="Calibri"/>
          <w:lang w:eastAsia="it-IT"/>
        </w:rPr>
      </w:pPr>
      <w:r>
        <w:rPr>
          <w:rFonts w:cstheme="minorHAnsi"/>
          <w:color w:val="000000" w:themeColor="text1"/>
        </w:rPr>
        <w:t xml:space="preserve">Il </w:t>
      </w:r>
      <w:r>
        <w:rPr>
          <w:rFonts w:eastAsia="Times New Roman" w:cs="Calibri"/>
          <w:lang w:eastAsia="it-IT"/>
        </w:rPr>
        <w:t>Collegio dei Docenti</w:t>
      </w:r>
      <w:r w:rsidRPr="00324EF4">
        <w:rPr>
          <w:rFonts w:eastAsia="Times New Roman" w:cs="Calibri"/>
          <w:lang w:eastAsia="it-IT"/>
        </w:rPr>
        <w:t xml:space="preserve"> nomina, per ciascun ciclo, una Commissione di Assicurazione della Qualità (AQ), costituita </w:t>
      </w:r>
      <w:r w:rsidRPr="00F746B5">
        <w:rPr>
          <w:rFonts w:eastAsia="Times New Roman" w:cs="Calibri"/>
          <w:lang w:eastAsia="it-IT"/>
        </w:rPr>
        <w:t>da due Docenti che non facciano</w:t>
      </w:r>
      <w:r w:rsidRPr="00324EF4">
        <w:rPr>
          <w:rFonts w:eastAsia="Times New Roman" w:cs="Calibri"/>
          <w:lang w:eastAsia="it-IT"/>
        </w:rPr>
        <w:t xml:space="preserve"> parte di Commissioni AQ </w:t>
      </w:r>
      <w:r>
        <w:rPr>
          <w:rFonts w:eastAsia="Times New Roman" w:cs="Calibri"/>
          <w:lang w:eastAsia="it-IT"/>
        </w:rPr>
        <w:t>dei C</w:t>
      </w:r>
      <w:r w:rsidRPr="00324EF4">
        <w:rPr>
          <w:rFonts w:eastAsia="Times New Roman" w:cs="Calibri"/>
          <w:lang w:eastAsia="it-IT"/>
        </w:rPr>
        <w:t xml:space="preserve">orsi di </w:t>
      </w:r>
      <w:r>
        <w:rPr>
          <w:rFonts w:eastAsia="Times New Roman" w:cs="Calibri"/>
          <w:lang w:eastAsia="it-IT"/>
        </w:rPr>
        <w:t>S</w:t>
      </w:r>
      <w:r w:rsidRPr="00324EF4">
        <w:rPr>
          <w:rFonts w:eastAsia="Times New Roman" w:cs="Calibri"/>
          <w:lang w:eastAsia="it-IT"/>
        </w:rPr>
        <w:t xml:space="preserve">tudio e da un rappresentante dei </w:t>
      </w:r>
      <w:r>
        <w:rPr>
          <w:rFonts w:eastAsia="Times New Roman" w:cs="Calibri"/>
          <w:lang w:eastAsia="it-IT"/>
        </w:rPr>
        <w:t>Dottoran</w:t>
      </w:r>
      <w:r w:rsidRPr="00324EF4">
        <w:rPr>
          <w:rFonts w:eastAsia="Times New Roman" w:cs="Calibri"/>
          <w:lang w:eastAsia="it-IT"/>
        </w:rPr>
        <w:t>di.</w:t>
      </w:r>
      <w:r w:rsidRPr="00FA7E8F">
        <w:t xml:space="preserve"> </w:t>
      </w:r>
      <w:r w:rsidRPr="00FA7E8F">
        <w:rPr>
          <w:rFonts w:eastAsia="Times New Roman" w:cs="Calibri"/>
          <w:lang w:eastAsia="it-IT"/>
        </w:rPr>
        <w:t xml:space="preserve">La </w:t>
      </w:r>
      <w:r>
        <w:rPr>
          <w:rFonts w:eastAsia="Times New Roman" w:cs="Calibri"/>
          <w:lang w:eastAsia="it-IT"/>
        </w:rPr>
        <w:t xml:space="preserve">Commissione AQ, insieme al Coordinatore e al Collegio dei Docenti, si occupa della </w:t>
      </w:r>
      <w:r w:rsidRPr="00FA7E8F">
        <w:rPr>
          <w:rFonts w:eastAsia="Times New Roman" w:cs="Calibri"/>
          <w:lang w:eastAsia="it-IT"/>
        </w:rPr>
        <w:t xml:space="preserve">gestione dell'assicurazione della qualità del </w:t>
      </w:r>
      <w:r>
        <w:rPr>
          <w:rFonts w:eastAsia="Times New Roman" w:cs="Calibri"/>
          <w:lang w:eastAsia="it-IT"/>
        </w:rPr>
        <w:t>Corso di Dottorato. Nello specifico, l</w:t>
      </w:r>
      <w:r w:rsidRPr="00605FDD">
        <w:rPr>
          <w:rFonts w:eastAsia="Times New Roman" w:cs="Calibri"/>
          <w:lang w:eastAsia="it-IT"/>
        </w:rPr>
        <w:t xml:space="preserve">a Commissione </w:t>
      </w:r>
      <w:r>
        <w:rPr>
          <w:rFonts w:eastAsia="Times New Roman" w:cs="Calibri"/>
          <w:lang w:eastAsia="it-IT"/>
        </w:rPr>
        <w:t xml:space="preserve">analizza i questionari, propone azioni migliorative, ne </w:t>
      </w:r>
      <w:r w:rsidRPr="00605FDD">
        <w:rPr>
          <w:rFonts w:eastAsia="Times New Roman" w:cs="Calibri"/>
          <w:lang w:eastAsia="it-IT"/>
        </w:rPr>
        <w:t xml:space="preserve">verifica l’efficacia, </w:t>
      </w:r>
      <w:r w:rsidR="00794900">
        <w:rPr>
          <w:rFonts w:eastAsia="Times New Roman" w:cs="Calibri"/>
          <w:lang w:eastAsia="it-IT"/>
        </w:rPr>
        <w:t xml:space="preserve">redige il rapporto di riesame, e </w:t>
      </w:r>
      <w:r w:rsidRPr="00605FDD">
        <w:rPr>
          <w:rFonts w:eastAsia="Times New Roman" w:cs="Calibri"/>
          <w:lang w:eastAsia="it-IT"/>
        </w:rPr>
        <w:t>tiene sotto controllo la validità della progettazione</w:t>
      </w:r>
      <w:r>
        <w:rPr>
          <w:rFonts w:eastAsia="Times New Roman" w:cs="Calibri"/>
          <w:lang w:eastAsia="it-IT"/>
        </w:rPr>
        <w:t xml:space="preserve"> e</w:t>
      </w:r>
      <w:r w:rsidRPr="00605FDD">
        <w:rPr>
          <w:rFonts w:eastAsia="Times New Roman" w:cs="Calibri"/>
          <w:lang w:eastAsia="it-IT"/>
        </w:rPr>
        <w:t xml:space="preserve"> la pianificazione di azioni di miglioramento.</w:t>
      </w:r>
      <w:r>
        <w:rPr>
          <w:rFonts w:eastAsia="Times New Roman" w:cs="Calibri"/>
          <w:lang w:eastAsia="it-IT"/>
        </w:rPr>
        <w:t xml:space="preserve"> In queste azioni, la Commissione AQ aggiorna e si interfaccia con </w:t>
      </w:r>
      <w:r w:rsidRPr="00605FDD">
        <w:rPr>
          <w:rFonts w:eastAsia="Times New Roman" w:cs="Calibri"/>
          <w:lang w:eastAsia="it-IT"/>
        </w:rPr>
        <w:t xml:space="preserve">l’intero </w:t>
      </w:r>
      <w:r>
        <w:rPr>
          <w:rFonts w:eastAsia="Times New Roman" w:cs="Calibri"/>
          <w:lang w:eastAsia="it-IT"/>
        </w:rPr>
        <w:t>Collegi</w:t>
      </w:r>
      <w:r w:rsidRPr="00605FDD">
        <w:rPr>
          <w:rFonts w:eastAsia="Times New Roman" w:cs="Calibri"/>
          <w:lang w:eastAsia="it-IT"/>
        </w:rPr>
        <w:t xml:space="preserve">o </w:t>
      </w:r>
      <w:r w:rsidR="00794900">
        <w:rPr>
          <w:rFonts w:eastAsia="Times New Roman" w:cs="Calibri"/>
          <w:lang w:eastAsia="it-IT"/>
        </w:rPr>
        <w:t xml:space="preserve">dei Docenti </w:t>
      </w:r>
      <w:r>
        <w:rPr>
          <w:rFonts w:eastAsia="Times New Roman" w:cs="Calibri"/>
          <w:lang w:eastAsia="it-IT"/>
        </w:rPr>
        <w:t xml:space="preserve">sugli esiti dei questionari e delle consultazioni e </w:t>
      </w:r>
      <w:r w:rsidR="00794900">
        <w:rPr>
          <w:rFonts w:eastAsia="Times New Roman" w:cs="Calibri"/>
          <w:lang w:eastAsia="it-IT"/>
        </w:rPr>
        <w:t xml:space="preserve">sulle </w:t>
      </w:r>
      <w:r>
        <w:rPr>
          <w:rFonts w:eastAsia="Times New Roman" w:cs="Calibri"/>
          <w:lang w:eastAsia="it-IT"/>
        </w:rPr>
        <w:t xml:space="preserve">azioni migliorative </w:t>
      </w:r>
      <w:r w:rsidR="00794900">
        <w:rPr>
          <w:rFonts w:eastAsia="Times New Roman" w:cs="Calibri"/>
          <w:lang w:eastAsia="it-IT"/>
        </w:rPr>
        <w:t>e il loro monitoraggio</w:t>
      </w:r>
      <w:r w:rsidRPr="00605FDD">
        <w:rPr>
          <w:rFonts w:eastAsia="Times New Roman" w:cs="Calibri"/>
          <w:lang w:eastAsia="it-IT"/>
        </w:rPr>
        <w:t>.</w:t>
      </w:r>
    </w:p>
    <w:p w14:paraId="3E43B55C" w14:textId="77777777" w:rsidR="00E83924" w:rsidRDefault="00E83924" w:rsidP="00E83924">
      <w:pPr>
        <w:spacing w:after="120"/>
        <w:rPr>
          <w:rFonts w:eastAsia="Times New Roman" w:cs="Calibri"/>
          <w:lang w:eastAsia="it-IT"/>
        </w:rPr>
      </w:pPr>
    </w:p>
    <w:p w14:paraId="46915EDE" w14:textId="77777777" w:rsidR="00E83924" w:rsidRPr="00FB4287" w:rsidRDefault="00E83924" w:rsidP="00E83924">
      <w:pPr>
        <w:spacing w:after="120"/>
        <w:rPr>
          <w:rFonts w:eastAsia="Times New Roman" w:cs="Calibri"/>
          <w:b/>
          <w:bCs/>
          <w:i/>
          <w:iCs/>
          <w:lang w:eastAsia="it-IT"/>
        </w:rPr>
      </w:pPr>
      <w:r w:rsidRPr="00FB4287">
        <w:rPr>
          <w:rFonts w:eastAsia="Times New Roman" w:cs="Calibri"/>
          <w:b/>
          <w:bCs/>
          <w:i/>
          <w:iCs/>
          <w:lang w:eastAsia="it-IT"/>
        </w:rPr>
        <w:t>3.2 Monitoraggio dei fondi</w:t>
      </w:r>
      <w:r>
        <w:rPr>
          <w:rFonts w:eastAsia="Times New Roman" w:cs="Calibri"/>
          <w:b/>
          <w:bCs/>
          <w:i/>
          <w:iCs/>
          <w:lang w:eastAsia="it-IT"/>
        </w:rPr>
        <w:t xml:space="preserve"> per le attività dei Dottorandi</w:t>
      </w:r>
    </w:p>
    <w:p w14:paraId="51F13953" w14:textId="7467BD62" w:rsidR="00E83924" w:rsidRPr="002444CB" w:rsidRDefault="00E83924" w:rsidP="00E83924">
      <w:pPr>
        <w:spacing w:after="120"/>
        <w:rPr>
          <w:rFonts w:eastAsia="Times New Roman" w:cs="Calibri"/>
          <w:lang w:eastAsia="it-IT"/>
        </w:rPr>
      </w:pPr>
      <w:r w:rsidRPr="002444CB">
        <w:rPr>
          <w:rFonts w:eastAsia="Times New Roman" w:cs="Calibri"/>
          <w:lang w:eastAsia="it-IT"/>
        </w:rPr>
        <w:t xml:space="preserve">Il Coordinatore e il Collegio dei Docenti, con il supporto dello staff amministrativo, tengono sotto controllo l’allocazione e le modalità di utilizzazione dei fondi per le attività formative e di ricerca dei </w:t>
      </w:r>
      <w:r>
        <w:rPr>
          <w:rFonts w:eastAsia="Times New Roman" w:cs="Calibri"/>
          <w:lang w:eastAsia="it-IT"/>
        </w:rPr>
        <w:t>Dottoran</w:t>
      </w:r>
      <w:r w:rsidRPr="002444CB">
        <w:rPr>
          <w:rFonts w:eastAsia="Times New Roman" w:cs="Calibri"/>
          <w:lang w:eastAsia="it-IT"/>
        </w:rPr>
        <w:t xml:space="preserve">di messe a disposizione dall’Ateneo, al fine di </w:t>
      </w:r>
      <w:r>
        <w:rPr>
          <w:rFonts w:eastAsia="Times New Roman" w:cs="Calibri"/>
          <w:lang w:eastAsia="it-IT"/>
        </w:rPr>
        <w:t>garantirne il pieno utilizzo</w:t>
      </w:r>
      <w:r w:rsidR="00C935B8">
        <w:rPr>
          <w:rFonts w:eastAsia="Times New Roman" w:cs="Calibri"/>
          <w:lang w:eastAsia="it-IT"/>
        </w:rPr>
        <w:t xml:space="preserve"> funzionale alla loro formazione</w:t>
      </w:r>
      <w:r w:rsidRPr="002444CB">
        <w:rPr>
          <w:rFonts w:eastAsia="Times New Roman" w:cs="Calibri"/>
          <w:lang w:eastAsia="it-IT"/>
        </w:rPr>
        <w:t>.</w:t>
      </w:r>
    </w:p>
    <w:p w14:paraId="2E30F45A" w14:textId="77777777" w:rsidR="00E83924" w:rsidRDefault="00E83924" w:rsidP="00E83924">
      <w:pPr>
        <w:spacing w:after="120"/>
        <w:rPr>
          <w:rFonts w:eastAsia="Times New Roman" w:cs="Calibri"/>
          <w:lang w:eastAsia="it-IT"/>
        </w:rPr>
      </w:pPr>
    </w:p>
    <w:p w14:paraId="271AFA50" w14:textId="77777777" w:rsidR="00E83924" w:rsidRPr="00FB4287" w:rsidRDefault="00E83924" w:rsidP="00E83924">
      <w:pPr>
        <w:spacing w:after="120"/>
        <w:rPr>
          <w:rFonts w:eastAsia="Times New Roman" w:cs="Calibri"/>
          <w:b/>
          <w:bCs/>
          <w:i/>
          <w:iCs/>
          <w:lang w:eastAsia="it-IT"/>
        </w:rPr>
      </w:pPr>
      <w:r w:rsidRPr="00FB4287">
        <w:rPr>
          <w:rFonts w:eastAsia="Times New Roman" w:cs="Calibri"/>
          <w:b/>
          <w:bCs/>
          <w:i/>
          <w:iCs/>
          <w:lang w:eastAsia="it-IT"/>
        </w:rPr>
        <w:t>3.3 Consultazione delle parti interessate</w:t>
      </w:r>
    </w:p>
    <w:p w14:paraId="51018BD4" w14:textId="0703AF9E" w:rsidR="00E83924" w:rsidRPr="00FB4287" w:rsidRDefault="00E83924" w:rsidP="00E83924">
      <w:pPr>
        <w:spacing w:after="120"/>
        <w:rPr>
          <w:rFonts w:eastAsia="Times New Roman" w:cs="Calibri"/>
          <w:lang w:eastAsia="it-IT"/>
        </w:rPr>
      </w:pPr>
      <w:r w:rsidRPr="00324EF4">
        <w:rPr>
          <w:rFonts w:eastAsia="Times New Roman" w:cs="Calibri"/>
          <w:lang w:eastAsia="it-IT"/>
        </w:rPr>
        <w:t xml:space="preserve">Il </w:t>
      </w:r>
      <w:r>
        <w:rPr>
          <w:rFonts w:eastAsia="Times New Roman" w:cs="Calibri"/>
          <w:lang w:eastAsia="it-IT"/>
        </w:rPr>
        <w:t>Corso di Dottorato</w:t>
      </w:r>
      <w:r w:rsidRPr="00324EF4">
        <w:rPr>
          <w:rFonts w:eastAsia="Times New Roman" w:cs="Calibri"/>
          <w:lang w:eastAsia="it-IT"/>
        </w:rPr>
        <w:t xml:space="preserve"> </w:t>
      </w:r>
      <w:r>
        <w:rPr>
          <w:rFonts w:eastAsia="Times New Roman" w:cs="Calibri"/>
          <w:lang w:eastAsia="it-IT"/>
        </w:rPr>
        <w:t xml:space="preserve">si avvale </w:t>
      </w:r>
      <w:r w:rsidRPr="00324EF4">
        <w:rPr>
          <w:rFonts w:eastAsia="Times New Roman" w:cs="Calibri"/>
          <w:lang w:eastAsia="it-IT"/>
        </w:rPr>
        <w:t>di consultazioni periodiche con i portatori di interesse</w:t>
      </w:r>
      <w:r>
        <w:rPr>
          <w:rFonts w:eastAsia="Times New Roman" w:cs="Calibri"/>
          <w:lang w:eastAsia="it-IT"/>
        </w:rPr>
        <w:t xml:space="preserve"> per </w:t>
      </w:r>
      <w:r w:rsidRPr="001606F1">
        <w:rPr>
          <w:rFonts w:eastAsia="Times New Roman" w:cs="Calibri"/>
          <w:lang w:eastAsia="it-IT"/>
        </w:rPr>
        <w:t xml:space="preserve">garantire un continuo allineamento </w:t>
      </w:r>
      <w:proofErr w:type="gramStart"/>
      <w:r w:rsidRPr="001606F1">
        <w:rPr>
          <w:rFonts w:eastAsia="Times New Roman" w:cs="Calibri"/>
          <w:lang w:eastAsia="it-IT"/>
        </w:rPr>
        <w:t>de</w:t>
      </w:r>
      <w:r w:rsidR="00C935B8">
        <w:rPr>
          <w:rFonts w:eastAsia="Times New Roman" w:cs="Calibri"/>
          <w:lang w:eastAsia="it-IT"/>
        </w:rPr>
        <w:t>l</w:t>
      </w:r>
      <w:r w:rsidRPr="001606F1">
        <w:rPr>
          <w:rFonts w:eastAsia="Times New Roman" w:cs="Calibri"/>
          <w:lang w:eastAsia="it-IT"/>
        </w:rPr>
        <w:t xml:space="preserve"> </w:t>
      </w:r>
      <w:r w:rsidR="00C935B8">
        <w:rPr>
          <w:rFonts w:eastAsia="Times New Roman" w:cs="Calibri"/>
          <w:lang w:eastAsia="it-IT"/>
        </w:rPr>
        <w:t>corsa</w:t>
      </w:r>
      <w:proofErr w:type="gramEnd"/>
      <w:r w:rsidR="00C935B8">
        <w:rPr>
          <w:rFonts w:eastAsia="Times New Roman" w:cs="Calibri"/>
          <w:lang w:eastAsia="it-IT"/>
        </w:rPr>
        <w:t xml:space="preserve"> con </w:t>
      </w:r>
      <w:r w:rsidRPr="001606F1">
        <w:rPr>
          <w:rFonts w:eastAsia="Times New Roman" w:cs="Calibri"/>
          <w:lang w:eastAsia="it-IT"/>
        </w:rPr>
        <w:t>le dinamiche del mercato del lavoro</w:t>
      </w:r>
      <w:r w:rsidRPr="00FB4287">
        <w:rPr>
          <w:rFonts w:eastAsia="Times New Roman" w:cs="Calibri"/>
          <w:lang w:eastAsia="it-IT"/>
        </w:rPr>
        <w:t>.</w:t>
      </w:r>
    </w:p>
    <w:p w14:paraId="435E29C5" w14:textId="1B3DCEB7" w:rsidR="00E83924" w:rsidRDefault="00E83924" w:rsidP="00E83924">
      <w:pPr>
        <w:spacing w:after="120"/>
        <w:rPr>
          <w:rFonts w:eastAsia="Times New Roman" w:cs="Calibri"/>
          <w:lang w:eastAsia="it-IT"/>
        </w:rPr>
      </w:pPr>
      <w:r w:rsidRPr="00FB4287">
        <w:rPr>
          <w:rFonts w:eastAsia="Times New Roman" w:cs="Calibri"/>
          <w:lang w:eastAsia="it-IT"/>
        </w:rPr>
        <w:t>I portatori di interesse sono stati individuati, attraverso un’analisi congiunta del Consiglio Scientifico del CSTE</w:t>
      </w:r>
      <w:r>
        <w:rPr>
          <w:rFonts w:eastAsia="Times New Roman" w:cs="Calibri"/>
          <w:lang w:eastAsia="it-IT"/>
        </w:rPr>
        <w:t>, struttura di riferimento del dottorato,</w:t>
      </w:r>
      <w:r w:rsidRPr="00FB4287">
        <w:rPr>
          <w:rFonts w:eastAsia="Times New Roman" w:cs="Calibri"/>
          <w:lang w:eastAsia="it-IT"/>
        </w:rPr>
        <w:t xml:space="preserve"> e dei </w:t>
      </w:r>
      <w:r>
        <w:rPr>
          <w:rFonts w:eastAsia="Times New Roman" w:cs="Calibri"/>
          <w:lang w:eastAsia="it-IT"/>
        </w:rPr>
        <w:t>Docenti</w:t>
      </w:r>
      <w:r w:rsidRPr="00FB4287">
        <w:rPr>
          <w:rFonts w:eastAsia="Times New Roman" w:cs="Calibri"/>
          <w:lang w:eastAsia="it-IT"/>
        </w:rPr>
        <w:t xml:space="preserve"> componenti del </w:t>
      </w:r>
      <w:r>
        <w:rPr>
          <w:rFonts w:eastAsia="Times New Roman" w:cs="Calibri"/>
          <w:lang w:eastAsia="it-IT"/>
        </w:rPr>
        <w:t>C</w:t>
      </w:r>
      <w:r w:rsidRPr="00FB4287">
        <w:rPr>
          <w:rFonts w:eastAsia="Times New Roman" w:cs="Calibri"/>
          <w:lang w:eastAsia="it-IT"/>
        </w:rPr>
        <w:t xml:space="preserve">ollegio, tenendo conto dei profili professionali di riferimento e degli sbocchi occupazionali del </w:t>
      </w:r>
      <w:r>
        <w:rPr>
          <w:rFonts w:eastAsia="Times New Roman" w:cs="Calibri"/>
          <w:lang w:eastAsia="it-IT"/>
        </w:rPr>
        <w:t>c</w:t>
      </w:r>
      <w:r w:rsidRPr="00FB4287">
        <w:rPr>
          <w:rFonts w:eastAsia="Times New Roman" w:cs="Calibri"/>
          <w:lang w:eastAsia="it-IT"/>
        </w:rPr>
        <w:t xml:space="preserve">orso. In particolare, sono invitati rappresentanti di istituzioni di ricerca e di formazione, </w:t>
      </w:r>
      <w:r w:rsidRPr="002A2C8B">
        <w:rPr>
          <w:rFonts w:eastAsia="Times New Roman" w:cs="Calibri"/>
          <w:i/>
          <w:iCs/>
          <w:lang w:eastAsia="it-IT"/>
        </w:rPr>
        <w:t>think tanks</w:t>
      </w:r>
      <w:r w:rsidRPr="00FB4287">
        <w:rPr>
          <w:rFonts w:eastAsia="Times New Roman" w:cs="Calibri"/>
          <w:lang w:eastAsia="it-IT"/>
        </w:rPr>
        <w:t>, amministrazioni pubbliche a</w:t>
      </w:r>
      <w:r w:rsidRPr="006B17B3">
        <w:rPr>
          <w:rFonts w:eastAsia="Times New Roman" w:cs="Calibri"/>
          <w:lang w:eastAsia="it-IT"/>
        </w:rPr>
        <w:t xml:space="preserve"> tutti i livelli, aziende dei settori commerciale, agricolo, industriale e dei servizi, organizzazioni non governative e </w:t>
      </w:r>
      <w:r w:rsidRPr="006B17B3">
        <w:rPr>
          <w:rFonts w:eastAsia="Times New Roman" w:cs="Calibri"/>
          <w:i/>
          <w:iCs/>
          <w:lang w:eastAsia="it-IT"/>
        </w:rPr>
        <w:t>non-profit</w:t>
      </w:r>
      <w:r w:rsidRPr="006B17B3">
        <w:rPr>
          <w:rFonts w:eastAsia="Times New Roman" w:cs="Calibri"/>
          <w:lang w:eastAsia="it-IT"/>
        </w:rPr>
        <w:t xml:space="preserve">, </w:t>
      </w:r>
      <w:r w:rsidRPr="006B17B3">
        <w:rPr>
          <w:rFonts w:eastAsia="Times New Roman" w:cs="Calibri"/>
          <w:i/>
          <w:iCs/>
          <w:lang w:eastAsia="it-IT"/>
        </w:rPr>
        <w:t>community-</w:t>
      </w:r>
      <w:proofErr w:type="spellStart"/>
      <w:r w:rsidRPr="006B17B3">
        <w:rPr>
          <w:rFonts w:eastAsia="Times New Roman" w:cs="Calibri"/>
          <w:i/>
          <w:iCs/>
          <w:lang w:eastAsia="it-IT"/>
        </w:rPr>
        <w:t>based</w:t>
      </w:r>
      <w:proofErr w:type="spellEnd"/>
      <w:r w:rsidRPr="006B17B3">
        <w:rPr>
          <w:rFonts w:eastAsia="Times New Roman" w:cs="Calibri"/>
          <w:lang w:eastAsia="it-IT"/>
        </w:rPr>
        <w:t xml:space="preserve"> e </w:t>
      </w:r>
      <w:proofErr w:type="spellStart"/>
      <w:r w:rsidRPr="006B17B3">
        <w:rPr>
          <w:rFonts w:eastAsia="Times New Roman" w:cs="Calibri"/>
          <w:i/>
          <w:iCs/>
          <w:lang w:eastAsia="it-IT"/>
        </w:rPr>
        <w:t>backbone</w:t>
      </w:r>
      <w:proofErr w:type="spellEnd"/>
      <w:r w:rsidRPr="006B17B3">
        <w:rPr>
          <w:rFonts w:eastAsia="Times New Roman" w:cs="Calibri"/>
          <w:i/>
          <w:iCs/>
          <w:lang w:eastAsia="it-IT"/>
        </w:rPr>
        <w:t xml:space="preserve"> </w:t>
      </w:r>
      <w:proofErr w:type="spellStart"/>
      <w:r w:rsidRPr="006B17B3">
        <w:rPr>
          <w:rFonts w:eastAsia="Times New Roman" w:cs="Calibri"/>
          <w:i/>
          <w:iCs/>
          <w:lang w:eastAsia="it-IT"/>
        </w:rPr>
        <w:t>organizations</w:t>
      </w:r>
      <w:proofErr w:type="spellEnd"/>
      <w:r w:rsidRPr="006B17B3">
        <w:rPr>
          <w:rFonts w:eastAsia="Times New Roman" w:cs="Calibri"/>
          <w:lang w:eastAsia="it-IT"/>
        </w:rPr>
        <w:t xml:space="preserve">, società di consulenza direzionale e di consulenza su programmi comunitari, </w:t>
      </w:r>
      <w:r w:rsidRPr="00B474F5">
        <w:rPr>
          <w:rFonts w:eastAsia="Times New Roman" w:cs="Calibri"/>
          <w:lang w:eastAsia="it-IT"/>
        </w:rPr>
        <w:t>organismi internazionali. Il Dottore di Ricerca in Transizione Ecologica</w:t>
      </w:r>
      <w:r>
        <w:rPr>
          <w:rFonts w:eastAsia="Times New Roman" w:cs="Calibri"/>
          <w:lang w:eastAsia="it-IT"/>
        </w:rPr>
        <w:t>,</w:t>
      </w:r>
      <w:r w:rsidRPr="00B474F5">
        <w:rPr>
          <w:rFonts w:eastAsia="Times New Roman" w:cs="Calibri"/>
          <w:lang w:eastAsia="it-IT"/>
        </w:rPr>
        <w:t xml:space="preserve"> infatti</w:t>
      </w:r>
      <w:r>
        <w:rPr>
          <w:rFonts w:eastAsia="Times New Roman" w:cs="Calibri"/>
          <w:lang w:eastAsia="it-IT"/>
        </w:rPr>
        <w:t>,</w:t>
      </w:r>
      <w:r w:rsidRPr="00B474F5">
        <w:rPr>
          <w:rFonts w:eastAsia="Times New Roman" w:cs="Calibri"/>
          <w:lang w:eastAsia="it-IT"/>
        </w:rPr>
        <w:t xml:space="preserve"> può svolgere il ruolo di </w:t>
      </w:r>
      <w:r w:rsidRPr="00B474F5">
        <w:rPr>
          <w:rFonts w:eastAsia="Times New Roman" w:cs="Calibri"/>
          <w:i/>
          <w:iCs/>
          <w:lang w:eastAsia="it-IT"/>
        </w:rPr>
        <w:t>manager</w:t>
      </w:r>
      <w:r w:rsidRPr="00B474F5">
        <w:rPr>
          <w:rFonts w:eastAsia="Times New Roman" w:cs="Calibri"/>
          <w:lang w:eastAsia="it-IT"/>
        </w:rPr>
        <w:t xml:space="preserve"> della sostenibilità e della transizione</w:t>
      </w:r>
      <w:r w:rsidRPr="006B17B3">
        <w:rPr>
          <w:rFonts w:eastAsia="Times New Roman" w:cs="Calibri"/>
          <w:lang w:eastAsia="it-IT"/>
        </w:rPr>
        <w:t xml:space="preserve"> ecologica in quanto ha acquisito le capacità e competenze tecniche, economiche, gestionali che gli consentiranno sia di promuovere che di gestire processi e attività ad elevato grado di complessità ed articolazione finalizzati alla progettazione e all’implementazione di strategie sostenibili per la trasformazione ecologica, in linea con gli obiettivi di sviluppo sostenibile dell’Agenda 2030. Ha, inoltre, un profilo professionale fortemente innovativo e multidisciplinare, che gli permette di esercitare </w:t>
      </w:r>
      <w:r w:rsidRPr="006B17B3">
        <w:rPr>
          <w:rFonts w:eastAsia="Times New Roman" w:cs="Calibri"/>
          <w:i/>
          <w:iCs/>
          <w:lang w:eastAsia="it-IT"/>
        </w:rPr>
        <w:t>leadership</w:t>
      </w:r>
      <w:r w:rsidRPr="006B17B3">
        <w:rPr>
          <w:rFonts w:eastAsia="Times New Roman" w:cs="Calibri"/>
          <w:lang w:eastAsia="it-IT"/>
        </w:rPr>
        <w:t xml:space="preserve"> di tipo “interdisciplinare” fondamentale per la realizzazione di </w:t>
      </w:r>
      <w:r w:rsidRPr="00707A87">
        <w:rPr>
          <w:rFonts w:eastAsia="Times New Roman" w:cs="Calibri"/>
          <w:i/>
          <w:iCs/>
          <w:lang w:eastAsia="it-IT"/>
        </w:rPr>
        <w:t>learning forums</w:t>
      </w:r>
      <w:r w:rsidRPr="00707A87">
        <w:rPr>
          <w:rFonts w:eastAsia="Times New Roman" w:cs="Calibri"/>
          <w:lang w:eastAsia="it-IT"/>
        </w:rPr>
        <w:t xml:space="preserve"> tra diversi </w:t>
      </w:r>
      <w:r w:rsidRPr="00707A87">
        <w:rPr>
          <w:rFonts w:eastAsia="Times New Roman" w:cs="Calibri"/>
          <w:i/>
          <w:iCs/>
          <w:lang w:eastAsia="it-IT"/>
        </w:rPr>
        <w:t>stakeholders</w:t>
      </w:r>
      <w:r w:rsidRPr="00707A87">
        <w:rPr>
          <w:rFonts w:eastAsia="Times New Roman" w:cs="Calibri"/>
          <w:lang w:eastAsia="it-IT"/>
        </w:rPr>
        <w:t xml:space="preserve"> su politiche ambientali </w:t>
      </w:r>
      <w:r w:rsidRPr="00707A87">
        <w:rPr>
          <w:rFonts w:eastAsia="Times New Roman" w:cs="Calibri"/>
          <w:lang w:eastAsia="it-IT"/>
        </w:rPr>
        <w:lastRenderedPageBreak/>
        <w:t xml:space="preserve">condivise e su sistemi reticolari di tipo multilivello, che progressivamente vengono posizionati su apposite piattaforme collaborative. </w:t>
      </w:r>
    </w:p>
    <w:p w14:paraId="0B516BBE" w14:textId="07840CDF" w:rsidR="003105FA" w:rsidRDefault="00E83924" w:rsidP="00E83924">
      <w:pPr>
        <w:spacing w:after="120"/>
        <w:rPr>
          <w:rFonts w:eastAsia="Times New Roman" w:cs="Calibri"/>
          <w:lang w:eastAsia="it-IT"/>
        </w:rPr>
      </w:pPr>
      <w:r w:rsidRPr="006B17B3">
        <w:rPr>
          <w:rFonts w:eastAsia="Times New Roman" w:cs="Calibri"/>
          <w:lang w:eastAsia="it-IT"/>
        </w:rPr>
        <w:t xml:space="preserve">Il CSTE </w:t>
      </w:r>
      <w:r>
        <w:rPr>
          <w:rFonts w:eastAsia="Times New Roman" w:cs="Calibri"/>
          <w:lang w:eastAsia="it-IT"/>
        </w:rPr>
        <w:t xml:space="preserve">e il </w:t>
      </w:r>
      <w:r>
        <w:rPr>
          <w:rFonts w:cs="Calibri"/>
        </w:rPr>
        <w:t>Collegio dei Docenti</w:t>
      </w:r>
      <w:r w:rsidRPr="00324EF4">
        <w:rPr>
          <w:rFonts w:cs="Calibri"/>
        </w:rPr>
        <w:t xml:space="preserve"> </w:t>
      </w:r>
      <w:r>
        <w:rPr>
          <w:rFonts w:eastAsia="Times New Roman" w:cs="Calibri"/>
          <w:lang w:eastAsia="it-IT"/>
        </w:rPr>
        <w:t xml:space="preserve">incontrano gli </w:t>
      </w:r>
      <w:r w:rsidRPr="00456091">
        <w:rPr>
          <w:rFonts w:eastAsia="Times New Roman" w:cs="Calibri"/>
          <w:i/>
          <w:iCs/>
          <w:lang w:eastAsia="it-IT"/>
        </w:rPr>
        <w:t>stakeholder</w:t>
      </w:r>
      <w:r>
        <w:rPr>
          <w:rFonts w:eastAsia="Times New Roman" w:cs="Calibri"/>
          <w:lang w:eastAsia="it-IT"/>
        </w:rPr>
        <w:t xml:space="preserve"> informando sulle attività del dottorato, creando connessioni che possono favorire la mobilità dei Dottorandi, le ricadute delle ricerche e il</w:t>
      </w:r>
      <w:r w:rsidRPr="00E63DD2">
        <w:rPr>
          <w:rFonts w:eastAsia="Times New Roman" w:cs="Calibri"/>
          <w:lang w:eastAsia="it-IT"/>
        </w:rPr>
        <w:t xml:space="preserve"> trasferimento tecnologico e opportunità di inserimento nel mondo del lavoro per i </w:t>
      </w:r>
      <w:r>
        <w:rPr>
          <w:rFonts w:eastAsia="Times New Roman" w:cs="Calibri"/>
          <w:lang w:eastAsia="it-IT"/>
        </w:rPr>
        <w:t>Dottori di Ricerca</w:t>
      </w:r>
      <w:r w:rsidRPr="00E63DD2">
        <w:rPr>
          <w:rFonts w:eastAsia="Times New Roman" w:cs="Calibri"/>
          <w:lang w:eastAsia="it-IT"/>
        </w:rPr>
        <w:t xml:space="preserve">. </w:t>
      </w:r>
      <w:r w:rsidR="009F1735">
        <w:rPr>
          <w:rFonts w:eastAsia="Times New Roman" w:cs="Calibri"/>
          <w:lang w:eastAsia="it-IT"/>
        </w:rPr>
        <w:t>Gli i</w:t>
      </w:r>
      <w:r>
        <w:rPr>
          <w:rFonts w:eastAsia="Times New Roman" w:cs="Calibri"/>
          <w:lang w:eastAsia="it-IT"/>
        </w:rPr>
        <w:t xml:space="preserve">ncontri vengono svolti nell’ambito del </w:t>
      </w:r>
      <w:r w:rsidRPr="00D505CA">
        <w:rPr>
          <w:rFonts w:eastAsia="Times New Roman" w:cs="Calibri"/>
          <w:i/>
          <w:iCs/>
          <w:lang w:eastAsia="it-IT"/>
        </w:rPr>
        <w:t>Forum</w:t>
      </w:r>
      <w:r w:rsidRPr="006B17B3">
        <w:rPr>
          <w:rFonts w:eastAsia="Times New Roman" w:cs="Calibri"/>
          <w:lang w:eastAsia="it-IT"/>
        </w:rPr>
        <w:t xml:space="preserve"> </w:t>
      </w:r>
      <w:r>
        <w:rPr>
          <w:rFonts w:eastAsia="Times New Roman" w:cs="Calibri"/>
          <w:lang w:eastAsia="it-IT"/>
        </w:rPr>
        <w:t>R</w:t>
      </w:r>
      <w:r w:rsidRPr="006B17B3">
        <w:rPr>
          <w:rFonts w:eastAsia="Times New Roman" w:cs="Calibri"/>
          <w:lang w:eastAsia="it-IT"/>
        </w:rPr>
        <w:t xml:space="preserve">egionale sulla Sostenibilità e </w:t>
      </w:r>
      <w:r>
        <w:rPr>
          <w:rFonts w:eastAsia="Times New Roman" w:cs="Calibri"/>
          <w:lang w:eastAsia="it-IT"/>
        </w:rPr>
        <w:t>sul</w:t>
      </w:r>
      <w:r w:rsidRPr="006B17B3">
        <w:rPr>
          <w:rFonts w:eastAsia="Times New Roman" w:cs="Calibri"/>
          <w:lang w:eastAsia="it-IT"/>
        </w:rPr>
        <w:t xml:space="preserve">la Transizione Ecologica, </w:t>
      </w:r>
      <w:r w:rsidR="00C935B8">
        <w:rPr>
          <w:rFonts w:eastAsia="Times New Roman" w:cs="Calibri"/>
          <w:lang w:eastAsia="it-IT"/>
        </w:rPr>
        <w:t>coordinato dal CSTE, struttura di afferenz</w:t>
      </w:r>
      <w:r w:rsidR="009F1735">
        <w:rPr>
          <w:rFonts w:eastAsia="Times New Roman" w:cs="Calibri"/>
          <w:lang w:eastAsia="it-IT"/>
        </w:rPr>
        <w:t>a</w:t>
      </w:r>
      <w:r w:rsidR="00C935B8">
        <w:rPr>
          <w:rFonts w:eastAsia="Times New Roman" w:cs="Calibri"/>
          <w:lang w:eastAsia="it-IT"/>
        </w:rPr>
        <w:t xml:space="preserve"> del Dottorato. Il Forum è stato presentato </w:t>
      </w:r>
      <w:r w:rsidRPr="006B17B3">
        <w:rPr>
          <w:rFonts w:eastAsia="Times New Roman" w:cs="Calibri"/>
          <w:lang w:eastAsia="it-IT"/>
        </w:rPr>
        <w:t>il 30 marzo 2023</w:t>
      </w:r>
      <w:r w:rsidR="00C935B8">
        <w:rPr>
          <w:rFonts w:eastAsia="Times New Roman" w:cs="Calibri"/>
          <w:lang w:eastAsia="it-IT"/>
        </w:rPr>
        <w:t xml:space="preserve">, </w:t>
      </w:r>
      <w:r>
        <w:rPr>
          <w:rFonts w:eastAsia="Times New Roman" w:cs="Calibri"/>
          <w:lang w:eastAsia="it-IT"/>
        </w:rPr>
        <w:t xml:space="preserve">iniziando </w:t>
      </w:r>
      <w:r w:rsidRPr="006B17B3">
        <w:rPr>
          <w:rFonts w:eastAsia="Times New Roman" w:cs="Calibri"/>
          <w:lang w:eastAsia="it-IT"/>
        </w:rPr>
        <w:t xml:space="preserve">un processo di dialogo </w:t>
      </w:r>
      <w:r>
        <w:rPr>
          <w:rFonts w:eastAsia="Times New Roman" w:cs="Calibri"/>
          <w:lang w:eastAsia="it-IT"/>
        </w:rPr>
        <w:t>con</w:t>
      </w:r>
      <w:r w:rsidRPr="006B17B3">
        <w:rPr>
          <w:rFonts w:eastAsia="Times New Roman" w:cs="Calibri"/>
          <w:lang w:eastAsia="it-IT"/>
        </w:rPr>
        <w:t xml:space="preserve"> </w:t>
      </w:r>
      <w:r>
        <w:rPr>
          <w:rFonts w:eastAsia="Times New Roman" w:cs="Calibri"/>
          <w:lang w:eastAsia="it-IT"/>
        </w:rPr>
        <w:t xml:space="preserve">e </w:t>
      </w:r>
      <w:r w:rsidRPr="006B17B3">
        <w:rPr>
          <w:rFonts w:eastAsia="Times New Roman" w:cs="Calibri"/>
          <w:lang w:eastAsia="it-IT"/>
        </w:rPr>
        <w:t xml:space="preserve">tra diversi </w:t>
      </w:r>
      <w:r w:rsidRPr="00E63DD2">
        <w:rPr>
          <w:rFonts w:eastAsia="Times New Roman" w:cs="Calibri"/>
          <w:i/>
          <w:iCs/>
          <w:lang w:eastAsia="it-IT"/>
        </w:rPr>
        <w:t>stakeholder</w:t>
      </w:r>
      <w:r w:rsidRPr="006B17B3">
        <w:rPr>
          <w:rFonts w:eastAsia="Times New Roman" w:cs="Calibri"/>
          <w:lang w:eastAsia="it-IT"/>
        </w:rPr>
        <w:t xml:space="preserve">, afferenti al settore pubblico, privato e alla società civile, </w:t>
      </w:r>
      <w:r>
        <w:rPr>
          <w:rFonts w:eastAsia="Times New Roman" w:cs="Calibri"/>
          <w:lang w:eastAsia="it-IT"/>
        </w:rPr>
        <w:t xml:space="preserve">al fine di favorire </w:t>
      </w:r>
      <w:r w:rsidRPr="006B17B3">
        <w:rPr>
          <w:rFonts w:eastAsia="Times New Roman" w:cs="Calibri"/>
          <w:lang w:eastAsia="it-IT"/>
        </w:rPr>
        <w:t>strategie condivise di sviluppo sostenibile combinando un'ampia gamma di metodi e strumenti partecipativi.</w:t>
      </w:r>
      <w:r>
        <w:rPr>
          <w:rFonts w:eastAsia="Times New Roman" w:cs="Calibri"/>
          <w:lang w:eastAsia="it-IT"/>
        </w:rPr>
        <w:t xml:space="preserve"> Gli </w:t>
      </w:r>
      <w:r w:rsidR="003105FA">
        <w:rPr>
          <w:rFonts w:eastAsia="Times New Roman" w:cs="Calibri"/>
          <w:lang w:eastAsia="it-IT"/>
        </w:rPr>
        <w:t xml:space="preserve">incontri </w:t>
      </w:r>
      <w:r w:rsidR="009F1735">
        <w:rPr>
          <w:rFonts w:eastAsia="Times New Roman" w:cs="Calibri"/>
          <w:lang w:eastAsia="it-IT"/>
        </w:rPr>
        <w:t xml:space="preserve">svolti </w:t>
      </w:r>
      <w:r w:rsidR="003105FA">
        <w:rPr>
          <w:rFonts w:eastAsia="Times New Roman" w:cs="Calibri"/>
          <w:lang w:eastAsia="it-IT"/>
        </w:rPr>
        <w:t xml:space="preserve">con cadenza </w:t>
      </w:r>
      <w:r w:rsidR="00C935B8">
        <w:rPr>
          <w:rFonts w:eastAsia="Times New Roman" w:cs="Calibri"/>
          <w:lang w:eastAsia="it-IT"/>
        </w:rPr>
        <w:t xml:space="preserve">almeno </w:t>
      </w:r>
      <w:r>
        <w:rPr>
          <w:rFonts w:eastAsia="Times New Roman" w:cs="Calibri"/>
          <w:lang w:eastAsia="it-IT"/>
        </w:rPr>
        <w:t>annual</w:t>
      </w:r>
      <w:r w:rsidR="00C935B8">
        <w:rPr>
          <w:rFonts w:eastAsia="Times New Roman" w:cs="Calibri"/>
          <w:lang w:eastAsia="it-IT"/>
        </w:rPr>
        <w:t xml:space="preserve">e </w:t>
      </w:r>
      <w:r w:rsidR="003105FA" w:rsidRPr="00E83924">
        <w:rPr>
          <w:rFonts w:eastAsia="Times New Roman" w:cs="Calibri"/>
          <w:lang w:eastAsia="it-IT"/>
        </w:rPr>
        <w:t xml:space="preserve">in un periodo antecedente la fase di </w:t>
      </w:r>
      <w:r w:rsidR="003105FA" w:rsidRPr="00431CF4">
        <w:rPr>
          <w:rFonts w:eastAsia="Times New Roman" w:cs="Calibri"/>
          <w:lang w:eastAsia="it-IT"/>
        </w:rPr>
        <w:t>accreditamento</w:t>
      </w:r>
      <w:r w:rsidR="009F1735" w:rsidRPr="00431CF4">
        <w:rPr>
          <w:rFonts w:eastAsia="Times New Roman" w:cs="Calibri"/>
          <w:lang w:eastAsia="it-IT"/>
        </w:rPr>
        <w:t xml:space="preserve"> (</w:t>
      </w:r>
      <w:r w:rsidR="00431CF4" w:rsidRPr="00431CF4">
        <w:rPr>
          <w:rFonts w:eastAsia="Times New Roman" w:cs="Calibri"/>
          <w:lang w:eastAsia="it-IT"/>
        </w:rPr>
        <w:t xml:space="preserve">nel 2025 il </w:t>
      </w:r>
      <w:r w:rsidR="001B0789" w:rsidRPr="00431CF4">
        <w:rPr>
          <w:rFonts w:eastAsia="Times New Roman" w:cs="Calibri"/>
          <w:lang w:eastAsia="it-IT"/>
        </w:rPr>
        <w:t xml:space="preserve">5 marzo </w:t>
      </w:r>
      <w:r w:rsidR="00431CF4" w:rsidRPr="00431CF4">
        <w:rPr>
          <w:rFonts w:eastAsia="Times New Roman" w:cs="Calibri"/>
          <w:lang w:eastAsia="it-IT"/>
        </w:rPr>
        <w:t xml:space="preserve">e il </w:t>
      </w:r>
      <w:r w:rsidR="001B0789" w:rsidRPr="00431CF4">
        <w:rPr>
          <w:rFonts w:eastAsia="Times New Roman" w:cs="Calibri"/>
          <w:lang w:eastAsia="it-IT"/>
        </w:rPr>
        <w:t>9 maggio</w:t>
      </w:r>
      <w:r w:rsidR="009F1735" w:rsidRPr="00431CF4">
        <w:rPr>
          <w:rFonts w:eastAsia="Times New Roman" w:cs="Calibri"/>
          <w:lang w:eastAsia="it-IT"/>
        </w:rPr>
        <w:t>),</w:t>
      </w:r>
      <w:r w:rsidR="003105FA" w:rsidRPr="00431CF4">
        <w:rPr>
          <w:rFonts w:eastAsia="Times New Roman" w:cs="Calibri"/>
          <w:lang w:eastAsia="it-IT"/>
        </w:rPr>
        <w:t xml:space="preserve"> </w:t>
      </w:r>
      <w:r w:rsidR="009F1735" w:rsidRPr="00431CF4">
        <w:rPr>
          <w:rFonts w:eastAsia="Times New Roman" w:cs="Calibri"/>
          <w:lang w:eastAsia="it-IT"/>
        </w:rPr>
        <w:t xml:space="preserve">sono </w:t>
      </w:r>
      <w:r w:rsidR="003105FA" w:rsidRPr="00431CF4">
        <w:rPr>
          <w:rFonts w:eastAsia="Times New Roman" w:cs="Calibri"/>
          <w:lang w:eastAsia="it-IT"/>
        </w:rPr>
        <w:t>ampiamente partecipati</w:t>
      </w:r>
      <w:r w:rsidR="009F1735" w:rsidRPr="00431CF4">
        <w:rPr>
          <w:rFonts w:eastAsia="Times New Roman" w:cs="Calibri"/>
          <w:lang w:eastAsia="it-IT"/>
        </w:rPr>
        <w:t xml:space="preserve"> e</w:t>
      </w:r>
      <w:r w:rsidR="003105FA" w:rsidRPr="00431CF4">
        <w:rPr>
          <w:rFonts w:eastAsia="Times New Roman" w:cs="Calibri"/>
          <w:lang w:eastAsia="it-IT"/>
        </w:rPr>
        <w:t xml:space="preserve"> consentono, altresì, l’inserimento dei Dottorandi e</w:t>
      </w:r>
      <w:r w:rsidR="003105FA" w:rsidRPr="00590467">
        <w:rPr>
          <w:rFonts w:eastAsia="Times New Roman" w:cs="Calibri"/>
          <w:lang w:eastAsia="it-IT"/>
        </w:rPr>
        <w:t xml:space="preserve"> dei </w:t>
      </w:r>
      <w:r w:rsidR="003105FA">
        <w:rPr>
          <w:rFonts w:eastAsia="Times New Roman" w:cs="Calibri"/>
          <w:lang w:eastAsia="it-IT"/>
        </w:rPr>
        <w:t xml:space="preserve">Dottori di Ricerca in un contesto sfaccettato e composito di portatori di interesse e </w:t>
      </w:r>
      <w:r w:rsidR="003105FA" w:rsidRPr="00590467">
        <w:rPr>
          <w:rFonts w:eastAsia="Times New Roman" w:cs="Calibri"/>
          <w:lang w:eastAsia="it-IT"/>
        </w:rPr>
        <w:t>favorisc</w:t>
      </w:r>
      <w:r w:rsidR="003105FA">
        <w:rPr>
          <w:rFonts w:eastAsia="Times New Roman" w:cs="Calibri"/>
          <w:lang w:eastAsia="it-IT"/>
        </w:rPr>
        <w:t>ono</w:t>
      </w:r>
      <w:r w:rsidR="003105FA" w:rsidRPr="00590467">
        <w:rPr>
          <w:rFonts w:eastAsia="Times New Roman" w:cs="Calibri"/>
          <w:lang w:eastAsia="it-IT"/>
        </w:rPr>
        <w:t xml:space="preserve"> il rafforzamento delle relazioni professionali e scientifiche dei </w:t>
      </w:r>
      <w:r w:rsidR="003105FA">
        <w:rPr>
          <w:rFonts w:eastAsia="Times New Roman" w:cs="Calibri"/>
          <w:lang w:eastAsia="it-IT"/>
        </w:rPr>
        <w:t>Dottoran</w:t>
      </w:r>
      <w:r w:rsidR="003105FA" w:rsidRPr="00590467">
        <w:rPr>
          <w:rFonts w:eastAsia="Times New Roman" w:cs="Calibri"/>
          <w:lang w:eastAsia="it-IT"/>
        </w:rPr>
        <w:t xml:space="preserve">di e dei </w:t>
      </w:r>
      <w:r w:rsidR="003105FA">
        <w:rPr>
          <w:rFonts w:eastAsia="Times New Roman" w:cs="Calibri"/>
          <w:lang w:eastAsia="it-IT"/>
        </w:rPr>
        <w:t xml:space="preserve">Dottori di Ricerca. </w:t>
      </w:r>
      <w:r w:rsidR="003105FA" w:rsidRPr="00E83924">
        <w:rPr>
          <w:rFonts w:eastAsia="Times New Roman" w:cs="Calibri"/>
          <w:lang w:eastAsia="it-IT"/>
        </w:rPr>
        <w:t xml:space="preserve">La consultazione con i portatori di interesse </w:t>
      </w:r>
      <w:r w:rsidR="003105FA">
        <w:rPr>
          <w:rFonts w:eastAsia="Times New Roman" w:cs="Calibri"/>
          <w:lang w:eastAsia="it-IT"/>
        </w:rPr>
        <w:t>avv</w:t>
      </w:r>
      <w:r w:rsidR="009F1735">
        <w:rPr>
          <w:rFonts w:eastAsia="Times New Roman" w:cs="Calibri"/>
          <w:lang w:eastAsia="it-IT"/>
        </w:rPr>
        <w:t>ien</w:t>
      </w:r>
      <w:r w:rsidR="003105FA">
        <w:rPr>
          <w:rFonts w:eastAsia="Times New Roman" w:cs="Calibri"/>
          <w:lang w:eastAsia="it-IT"/>
        </w:rPr>
        <w:t>e an</w:t>
      </w:r>
      <w:r w:rsidR="003105FA" w:rsidRPr="00C935B8">
        <w:rPr>
          <w:rFonts w:eastAsia="Times New Roman" w:cs="Calibri"/>
          <w:lang w:eastAsia="it-IT"/>
        </w:rPr>
        <w:t>che tramite questionari</w:t>
      </w:r>
      <w:r w:rsidR="003105FA">
        <w:rPr>
          <w:rFonts w:eastAsia="Times New Roman" w:cs="Calibri"/>
          <w:lang w:eastAsia="it-IT"/>
        </w:rPr>
        <w:t>.</w:t>
      </w:r>
    </w:p>
    <w:p w14:paraId="36C7FAE0" w14:textId="7F69686E" w:rsidR="00E83924" w:rsidRPr="00456DF1" w:rsidRDefault="00E83924" w:rsidP="00E83924">
      <w:pPr>
        <w:spacing w:after="120"/>
        <w:rPr>
          <w:rFonts w:cstheme="minorHAnsi"/>
          <w:sz w:val="20"/>
          <w:szCs w:val="20"/>
        </w:rPr>
      </w:pPr>
      <w:r>
        <w:rPr>
          <w:rFonts w:eastAsia="Times New Roman" w:cs="Calibri"/>
          <w:lang w:eastAsia="it-IT"/>
        </w:rPr>
        <w:t xml:space="preserve">I risultati della </w:t>
      </w:r>
      <w:r w:rsidRPr="00324EF4">
        <w:rPr>
          <w:rFonts w:eastAsia="Times New Roman" w:cs="Calibri"/>
          <w:lang w:eastAsia="it-IT"/>
        </w:rPr>
        <w:t xml:space="preserve">rilevazione delle opinioni dei </w:t>
      </w:r>
      <w:r>
        <w:rPr>
          <w:rFonts w:eastAsia="Times New Roman" w:cs="Calibri"/>
          <w:lang w:eastAsia="it-IT"/>
        </w:rPr>
        <w:t>Dottoran</w:t>
      </w:r>
      <w:r w:rsidRPr="00324EF4">
        <w:rPr>
          <w:rFonts w:eastAsia="Times New Roman" w:cs="Calibri"/>
          <w:lang w:eastAsia="it-IT"/>
        </w:rPr>
        <w:t xml:space="preserve">di e dei </w:t>
      </w:r>
      <w:r>
        <w:rPr>
          <w:rFonts w:eastAsia="Times New Roman" w:cs="Calibri"/>
          <w:lang w:eastAsia="it-IT"/>
        </w:rPr>
        <w:t>Dottori di Ricerca</w:t>
      </w:r>
      <w:r w:rsidRPr="00324EF4">
        <w:rPr>
          <w:rFonts w:eastAsia="Times New Roman" w:cs="Calibri"/>
          <w:lang w:eastAsia="it-IT"/>
        </w:rPr>
        <w:t xml:space="preserve"> </w:t>
      </w:r>
      <w:r>
        <w:rPr>
          <w:rFonts w:eastAsia="Times New Roman" w:cs="Calibri"/>
          <w:lang w:eastAsia="it-IT"/>
        </w:rPr>
        <w:t xml:space="preserve">insieme a quelli della consultazione dei portatori di interesse vengono analizzati </w:t>
      </w:r>
      <w:r w:rsidRPr="004000C4">
        <w:rPr>
          <w:rFonts w:eastAsia="Times New Roman" w:cs="Calibri"/>
          <w:i/>
          <w:iCs/>
          <w:lang w:eastAsia="it-IT"/>
        </w:rPr>
        <w:t>in primis</w:t>
      </w:r>
      <w:r>
        <w:rPr>
          <w:rFonts w:eastAsia="Times New Roman" w:cs="Calibri"/>
          <w:lang w:eastAsia="it-IT"/>
        </w:rPr>
        <w:t xml:space="preserve"> dalla Commissione AQ</w:t>
      </w:r>
      <w:r w:rsidR="00C935B8">
        <w:rPr>
          <w:rFonts w:eastAsia="Times New Roman" w:cs="Calibri"/>
          <w:lang w:eastAsia="it-IT"/>
        </w:rPr>
        <w:t>, anche in occasione della redazione del rapporto di riesame,</w:t>
      </w:r>
      <w:r>
        <w:rPr>
          <w:rFonts w:eastAsia="Times New Roman" w:cs="Calibri"/>
          <w:lang w:eastAsia="it-IT"/>
        </w:rPr>
        <w:t xml:space="preserve"> e poi </w:t>
      </w:r>
      <w:r w:rsidR="00C935B8">
        <w:rPr>
          <w:rFonts w:eastAsia="Times New Roman" w:cs="Calibri"/>
          <w:lang w:eastAsia="it-IT"/>
        </w:rPr>
        <w:t xml:space="preserve">sono </w:t>
      </w:r>
      <w:r>
        <w:rPr>
          <w:rFonts w:eastAsia="Times New Roman" w:cs="Calibri"/>
          <w:lang w:eastAsia="it-IT"/>
        </w:rPr>
        <w:t xml:space="preserve">discussi dal </w:t>
      </w:r>
      <w:r>
        <w:rPr>
          <w:rFonts w:cs="Calibri"/>
        </w:rPr>
        <w:t>Collegio dei Docenti</w:t>
      </w:r>
      <w:r>
        <w:rPr>
          <w:rFonts w:eastAsia="Times New Roman" w:cs="Calibri"/>
          <w:lang w:eastAsia="it-IT"/>
        </w:rPr>
        <w:t>. Gli strumenti adottati per il monitoraggio</w:t>
      </w:r>
      <w:r w:rsidR="00FD1AB1">
        <w:rPr>
          <w:rFonts w:eastAsia="Times New Roman" w:cs="Calibri"/>
          <w:lang w:eastAsia="it-IT"/>
        </w:rPr>
        <w:t>,</w:t>
      </w:r>
      <w:r>
        <w:rPr>
          <w:rFonts w:eastAsia="Times New Roman" w:cs="Calibri"/>
          <w:lang w:eastAsia="it-IT"/>
        </w:rPr>
        <w:t xml:space="preserve"> </w:t>
      </w:r>
      <w:r w:rsidR="00FD1AB1">
        <w:rPr>
          <w:rFonts w:eastAsia="Times New Roman" w:cs="Calibri"/>
          <w:lang w:eastAsia="it-IT"/>
        </w:rPr>
        <w:t xml:space="preserve">l’analisi dei </w:t>
      </w:r>
      <w:r w:rsidRPr="00590467">
        <w:rPr>
          <w:rFonts w:eastAsia="Times New Roman" w:cs="Calibri"/>
          <w:lang w:eastAsia="it-IT"/>
        </w:rPr>
        <w:t xml:space="preserve">suggerimenti delle parti interessate e le proposte di miglioramento dei </w:t>
      </w:r>
      <w:r>
        <w:rPr>
          <w:rFonts w:eastAsia="Times New Roman" w:cs="Calibri"/>
          <w:lang w:eastAsia="it-IT"/>
        </w:rPr>
        <w:t>Dottoran</w:t>
      </w:r>
      <w:r w:rsidRPr="00590467">
        <w:rPr>
          <w:rFonts w:eastAsia="Times New Roman" w:cs="Calibri"/>
          <w:lang w:eastAsia="it-IT"/>
        </w:rPr>
        <w:t xml:space="preserve">di </w:t>
      </w:r>
      <w:r>
        <w:rPr>
          <w:rFonts w:eastAsia="Times New Roman" w:cs="Calibri"/>
          <w:lang w:eastAsia="it-IT"/>
        </w:rPr>
        <w:t xml:space="preserve">consentono di acquisire informazioni utili per </w:t>
      </w:r>
      <w:r w:rsidRPr="00324EF4">
        <w:rPr>
          <w:rFonts w:eastAsia="Times New Roman" w:cs="Calibri"/>
          <w:lang w:eastAsia="it-IT"/>
        </w:rPr>
        <w:t xml:space="preserve">l’aggiornamento dei percorsi </w:t>
      </w:r>
      <w:r>
        <w:rPr>
          <w:rFonts w:eastAsia="Times New Roman" w:cs="Calibri"/>
          <w:lang w:eastAsia="it-IT"/>
        </w:rPr>
        <w:t xml:space="preserve">formativi e di ricerca e </w:t>
      </w:r>
      <w:r w:rsidRPr="00324EF4">
        <w:rPr>
          <w:rFonts w:eastAsia="Times New Roman" w:cs="Calibri"/>
          <w:lang w:eastAsia="it-IT"/>
        </w:rPr>
        <w:t xml:space="preserve">per </w:t>
      </w:r>
      <w:r>
        <w:rPr>
          <w:rFonts w:eastAsia="Times New Roman" w:cs="Calibri"/>
          <w:lang w:eastAsia="it-IT"/>
        </w:rPr>
        <w:t xml:space="preserve">garantire </w:t>
      </w:r>
      <w:r w:rsidRPr="00324EF4">
        <w:rPr>
          <w:rFonts w:eastAsia="Times New Roman" w:cs="Calibri"/>
          <w:lang w:eastAsia="it-IT"/>
        </w:rPr>
        <w:t>il loro adeguamento ai profili scientifici e di alta formazione espressi dal mercato del lavoro</w:t>
      </w:r>
      <w:r>
        <w:rPr>
          <w:rFonts w:eastAsia="Times New Roman" w:cs="Calibri"/>
          <w:lang w:eastAsia="it-IT"/>
        </w:rPr>
        <w:t xml:space="preserve">, </w:t>
      </w:r>
      <w:r w:rsidRPr="00324EF4">
        <w:rPr>
          <w:rFonts w:eastAsia="Times New Roman" w:cs="Calibri"/>
          <w:lang w:eastAsia="it-IT"/>
        </w:rPr>
        <w:t xml:space="preserve">tenendo conto </w:t>
      </w:r>
      <w:r>
        <w:rPr>
          <w:rFonts w:eastAsia="Times New Roman" w:cs="Calibri"/>
          <w:lang w:eastAsia="it-IT"/>
        </w:rPr>
        <w:t xml:space="preserve">anche </w:t>
      </w:r>
      <w:r w:rsidRPr="00324EF4">
        <w:rPr>
          <w:rFonts w:eastAsia="Times New Roman" w:cs="Calibri"/>
          <w:lang w:eastAsia="it-IT"/>
        </w:rPr>
        <w:t xml:space="preserve">dell’evoluzione culturale e scientifica delle aree di riferimento e le potenzialità di sviluppo. </w:t>
      </w:r>
      <w:r>
        <w:rPr>
          <w:rFonts w:eastAsia="Times New Roman" w:cs="Calibri"/>
          <w:lang w:eastAsia="it-IT"/>
        </w:rPr>
        <w:t>Le azioni migliorative vengono monitorate per valutarne l’efficacia.</w:t>
      </w:r>
    </w:p>
    <w:p w14:paraId="3709E546" w14:textId="184FFC90" w:rsidR="00870D4A" w:rsidRDefault="00870D4A" w:rsidP="00870D4A">
      <w:pPr>
        <w:spacing w:after="120"/>
        <w:rPr>
          <w:rFonts w:eastAsia="Times New Roman" w:cs="Calibri"/>
          <w:lang w:eastAsia="it-IT"/>
        </w:rPr>
      </w:pPr>
      <w:r>
        <w:rPr>
          <w:rFonts w:eastAsia="Times New Roman" w:cs="Calibri"/>
          <w:iCs/>
          <w:lang w:eastAsia="it-IT"/>
        </w:rPr>
        <w:t xml:space="preserve">Per il confronto con le pareti interessate il Dottorato beneficia anche del </w:t>
      </w:r>
      <w:r w:rsidRPr="00F15A99">
        <w:rPr>
          <w:rFonts w:eastAsia="Times New Roman" w:cs="Calibri"/>
          <w:lang w:eastAsia="it-IT"/>
        </w:rPr>
        <w:t>"Comitato consultivo di riferimento",</w:t>
      </w:r>
      <w:r>
        <w:rPr>
          <w:rFonts w:eastAsia="Times New Roman" w:cs="Calibri"/>
          <w:lang w:eastAsia="it-IT"/>
        </w:rPr>
        <w:t xml:space="preserve"> organo del</w:t>
      </w:r>
      <w:r w:rsidRPr="00F15A99">
        <w:rPr>
          <w:rFonts w:eastAsia="Times New Roman" w:cs="Calibri"/>
          <w:lang w:eastAsia="it-IT"/>
        </w:rPr>
        <w:t xml:space="preserve">la Scuola di Dottorato dell'Università degli Studi di Palermo </w:t>
      </w:r>
      <w:r>
        <w:rPr>
          <w:rFonts w:eastAsia="Times New Roman" w:cs="Calibri"/>
          <w:lang w:eastAsia="it-IT"/>
        </w:rPr>
        <w:t>recentemente istituito (</w:t>
      </w:r>
      <w:r w:rsidRPr="00870D4A">
        <w:rPr>
          <w:rFonts w:eastAsia="Times New Roman" w:cs="Calibri"/>
          <w:lang w:eastAsia="it-IT"/>
        </w:rPr>
        <w:t>D.R. n. 4903 del 30/04/2025</w:t>
      </w:r>
      <w:r>
        <w:rPr>
          <w:rFonts w:eastAsia="Times New Roman" w:cs="Calibri"/>
          <w:lang w:eastAsia="it-IT"/>
        </w:rPr>
        <w:t xml:space="preserve">), </w:t>
      </w:r>
      <w:r w:rsidRPr="00F15A99">
        <w:rPr>
          <w:rFonts w:eastAsia="Times New Roman" w:cs="Calibri"/>
          <w:lang w:eastAsia="it-IT"/>
        </w:rPr>
        <w:t>composto da qualificati soggetti esterni all’Ateneo, appartenenti al contesto industriale, sociale, economico e culturale, nominati dal Rettore, anche su proposta dei Coordinatori.</w:t>
      </w:r>
      <w:r>
        <w:rPr>
          <w:rFonts w:eastAsia="Times New Roman" w:cs="Calibri"/>
          <w:lang w:eastAsia="it-IT"/>
        </w:rPr>
        <w:t xml:space="preserve"> </w:t>
      </w:r>
    </w:p>
    <w:p w14:paraId="776A6752" w14:textId="18B37E73" w:rsidR="003A4FC4" w:rsidRPr="00870D4A" w:rsidRDefault="00870D4A" w:rsidP="00870D4A">
      <w:pPr>
        <w:spacing w:after="120"/>
        <w:rPr>
          <w:rFonts w:eastAsia="Times New Roman" w:cs="Calibri"/>
          <w:lang w:eastAsia="it-IT"/>
        </w:rPr>
      </w:pPr>
      <w:r>
        <w:rPr>
          <w:rFonts w:eastAsia="Times New Roman" w:cs="Calibri"/>
          <w:lang w:eastAsia="it-IT"/>
        </w:rPr>
        <w:t>A</w:t>
      </w:r>
      <w:r w:rsidRPr="00B474F5">
        <w:rPr>
          <w:rFonts w:eastAsia="Times New Roman" w:cs="Calibri"/>
          <w:lang w:eastAsia="it-IT"/>
        </w:rPr>
        <w:t>ttenzione viene indirizzata agli studenti di lauree magistrali che vengono raggiunti anche tramite appositi incontri organizzati dalla Scuola di Dottorato dell’Ateneo di Palermo</w:t>
      </w:r>
      <w:r>
        <w:rPr>
          <w:rFonts w:eastAsia="Times New Roman" w:cs="Calibri"/>
          <w:lang w:eastAsia="it-IT"/>
        </w:rPr>
        <w:t xml:space="preserve"> (</w:t>
      </w:r>
      <w:r w:rsidRPr="007966D0">
        <w:rPr>
          <w:rFonts w:eastAsia="Times New Roman" w:cs="Calibri"/>
          <w:i/>
          <w:iCs/>
          <w:lang w:eastAsia="it-IT"/>
        </w:rPr>
        <w:t>open day</w:t>
      </w:r>
      <w:r>
        <w:rPr>
          <w:rFonts w:eastAsia="Times New Roman" w:cs="Calibri"/>
          <w:lang w:eastAsia="it-IT"/>
        </w:rPr>
        <w:t>) a cui partecipano i dottorandi in Transizione Ecologica</w:t>
      </w:r>
      <w:r w:rsidRPr="00B474F5">
        <w:rPr>
          <w:rFonts w:eastAsia="Times New Roman" w:cs="Calibri"/>
          <w:lang w:eastAsia="it-IT"/>
        </w:rPr>
        <w:t xml:space="preserve">. </w:t>
      </w:r>
    </w:p>
    <w:sectPr w:rsidR="003A4FC4" w:rsidRPr="00870D4A" w:rsidSect="008F6BC6">
      <w:headerReference w:type="even" r:id="rId12"/>
      <w:headerReference w:type="default" r:id="rId13"/>
      <w:footerReference w:type="even" r:id="rId14"/>
      <w:footerReference w:type="default" r:id="rId15"/>
      <w:headerReference w:type="first" r:id="rId16"/>
      <w:footerReference w:type="first" r:id="rId17"/>
      <w:pgSz w:w="11900" w:h="16840" w:code="9"/>
      <w:pgMar w:top="3137" w:right="1977" w:bottom="1021" w:left="1985" w:header="1276"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0944C" w14:textId="77777777" w:rsidR="001F43C7" w:rsidRDefault="001F43C7">
      <w:r>
        <w:separator/>
      </w:r>
    </w:p>
  </w:endnote>
  <w:endnote w:type="continuationSeparator" w:id="0">
    <w:p w14:paraId="4F6B39E6" w14:textId="77777777" w:rsidR="001F43C7" w:rsidRDefault="001F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ontserrat SemiBold">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1277" w14:textId="77777777" w:rsidR="00E27FE8" w:rsidRDefault="00E27FE8">
    <w:pPr>
      <w:pStyle w:val="Pidipagina"/>
      <w:tabs>
        <w:tab w:val="left" w:pos="9912"/>
      </w:tabs>
    </w:pPr>
    <w:r>
      <w:t xml:space="preserve">Scrivere qui l’indirizzo completo, telefono, fax, </w:t>
    </w:r>
    <w:proofErr w:type="gramStart"/>
    <w:r>
      <w:t>email</w:t>
    </w:r>
    <w:proofErr w:type="gramEnd"/>
    <w:r>
      <w:t xml:space="preserve"> e sito web</w:t>
    </w:r>
  </w:p>
  <w:p w14:paraId="47F5473B" w14:textId="77777777" w:rsidR="00E27FE8" w:rsidRDefault="00E27FE8">
    <w:pPr>
      <w:pStyle w:val="Pidipagina"/>
      <w:tabs>
        <w:tab w:val="left" w:pos="9912"/>
      </w:tabs>
      <w:rPr>
        <w:rFonts w:eastAsia="Times New Roman"/>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8ED5" w14:textId="77777777" w:rsidR="008F6BC6" w:rsidRDefault="00937579" w:rsidP="00937579">
    <w:pPr>
      <w:pStyle w:val="Pidipagina"/>
      <w:spacing w:after="30" w:line="192" w:lineRule="auto"/>
      <w:jc w:val="left"/>
      <w:rPr>
        <w:rFonts w:ascii="Montserrat" w:hAnsi="Montserrat"/>
        <w:color w:val="333333"/>
        <w:sz w:val="15"/>
        <w:szCs w:val="15"/>
      </w:rPr>
    </w:pPr>
    <w:r w:rsidRPr="00937579">
      <w:rPr>
        <w:rFonts w:ascii="Montserrat" w:hAnsi="Montserrat"/>
        <w:color w:val="333333"/>
        <w:sz w:val="15"/>
        <w:szCs w:val="15"/>
      </w:rPr>
      <w:t xml:space="preserve">Palazzetto Neoclassico </w:t>
    </w:r>
    <w:r>
      <w:rPr>
        <w:rFonts w:ascii="Montserrat" w:hAnsi="Montserrat"/>
        <w:color w:val="333333"/>
        <w:sz w:val="15"/>
        <w:szCs w:val="15"/>
      </w:rPr>
      <w:t xml:space="preserve">- </w:t>
    </w:r>
    <w:r w:rsidR="00E30E67" w:rsidRPr="007E766A">
      <w:rPr>
        <w:rFonts w:ascii="Montserrat" w:hAnsi="Montserrat"/>
        <w:color w:val="333333"/>
        <w:sz w:val="15"/>
        <w:szCs w:val="15"/>
      </w:rPr>
      <w:t>Piazza Marina n. 61 – 90133 Palermo</w:t>
    </w:r>
  </w:p>
  <w:p w14:paraId="38EAD358" w14:textId="161FB87A" w:rsidR="00E27FE8" w:rsidRPr="008F6BC6" w:rsidRDefault="008F6BC6" w:rsidP="008F6BC6">
    <w:pPr>
      <w:pStyle w:val="Pidipagina"/>
      <w:spacing w:after="30" w:line="192" w:lineRule="auto"/>
      <w:jc w:val="left"/>
      <w:rPr>
        <w:rFonts w:ascii="Montserrat" w:hAnsi="Montserrat"/>
        <w:color w:val="333333"/>
        <w:sz w:val="15"/>
        <w:szCs w:val="15"/>
      </w:rPr>
    </w:pPr>
    <w:hyperlink r:id="rId1" w:history="1">
      <w:r w:rsidRPr="00F54A48">
        <w:rPr>
          <w:rStyle w:val="Collegamentoipertestuale"/>
          <w:rFonts w:ascii="Montserrat" w:hAnsi="Montserrat"/>
          <w:sz w:val="15"/>
          <w:szCs w:val="15"/>
        </w:rPr>
        <w:t>direttore.cste@unipa.it</w:t>
      </w:r>
    </w:hyperlink>
    <w:r>
      <w:rPr>
        <w:rFonts w:ascii="Montserrat" w:hAnsi="Montserrat"/>
        <w:color w:val="333333"/>
        <w:sz w:val="15"/>
        <w:szCs w:val="15"/>
      </w:rPr>
      <w:t xml:space="preserve"> - </w:t>
    </w:r>
    <w:hyperlink r:id="rId2" w:history="1">
      <w:r w:rsidRPr="00F54A48">
        <w:rPr>
          <w:rStyle w:val="Collegamentoipertestuale"/>
          <w:rFonts w:ascii="Montserrat" w:hAnsi="Montserrat"/>
          <w:sz w:val="15"/>
          <w:szCs w:val="15"/>
        </w:rPr>
        <w:t>rad.cste@unipa.it</w:t>
      </w:r>
    </w:hyperlink>
    <w:r>
      <w:rPr>
        <w:rFonts w:ascii="Montserrat" w:hAnsi="Montserrat"/>
        <w:color w:val="333333"/>
        <w:sz w:val="15"/>
        <w:szCs w:val="15"/>
      </w:rPr>
      <w:t xml:space="preserve"> - </w:t>
    </w:r>
    <w:hyperlink r:id="rId3" w:history="1">
      <w:r w:rsidRPr="00F54A48">
        <w:rPr>
          <w:rStyle w:val="Collegamentoipertestuale"/>
          <w:rFonts w:ascii="Montserrat" w:hAnsi="Montserrat"/>
          <w:sz w:val="15"/>
          <w:szCs w:val="15"/>
        </w:rPr>
        <w:t>cste@unipa.it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B254" w14:textId="77777777" w:rsidR="00BC369D" w:rsidRDefault="00BC36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4DA6D" w14:textId="77777777" w:rsidR="001F43C7" w:rsidRDefault="001F43C7">
      <w:r>
        <w:separator/>
      </w:r>
    </w:p>
  </w:footnote>
  <w:footnote w:type="continuationSeparator" w:id="0">
    <w:p w14:paraId="0DD66360" w14:textId="77777777" w:rsidR="001F43C7" w:rsidRDefault="001F4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5225" w14:textId="77777777" w:rsidR="00E27FE8" w:rsidRDefault="00042302">
    <w:pPr>
      <w:tabs>
        <w:tab w:val="left" w:pos="9912"/>
      </w:tabs>
      <w:rPr>
        <w:rFonts w:eastAsia="Times New Roman"/>
        <w:color w:val="auto"/>
        <w:sz w:val="20"/>
      </w:rPr>
    </w:pPr>
    <w:r>
      <w:rPr>
        <w:noProof/>
        <w:lang w:eastAsia="it-IT"/>
      </w:rPr>
      <mc:AlternateContent>
        <mc:Choice Requires="wps">
          <w:drawing>
            <wp:anchor distT="0" distB="0" distL="114300" distR="114300" simplePos="0" relativeHeight="251657216" behindDoc="0" locked="0" layoutInCell="1" allowOverlap="1" wp14:anchorId="610667FC" wp14:editId="4DD01832">
              <wp:simplePos x="0" y="0"/>
              <wp:positionH relativeFrom="character">
                <wp:posOffset>0</wp:posOffset>
              </wp:positionH>
              <wp:positionV relativeFrom="line">
                <wp:posOffset>0</wp:posOffset>
              </wp:positionV>
              <wp:extent cx="6475730" cy="570865"/>
              <wp:effectExtent l="0" t="0" r="127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5902F14D"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60EFFA1A"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715A9D32"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667FC" id="Rectangle 3" o:spid="_x0000_s1026" style="position:absolute;margin-left:0;margin-top:0;width:509.9pt;height:44.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" stroked="f" strokeweight=".5pt">
              <v:stroke joinstyle="round"/>
              <v:path arrowok="t"/>
              <v:textbox inset="3pt,3pt,3pt,3pt">
                <w:txbxContent>
                  <w:p w14:paraId="5902F14D"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60EFFA1A"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715A9D32"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433D1459" wp14:editId="19428089">
              <wp:extent cx="6477000" cy="571500"/>
              <wp:effectExtent l="0" t="0" r="0" b="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715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4F254C34" id="AutoShape 4"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">
              <v:path textboxrect="@1,@1,@1,@1"/>
              <w10:anchorlock/>
            </v:shape>
          </w:pict>
        </mc:Fallback>
      </mc:AlternateContent>
    </w:r>
    <w:r w:rsidR="006B2C38">
      <w:rPr>
        <w:noProof/>
        <w:lang w:eastAsia="it-IT"/>
      </w:rPr>
      <w:drawing>
        <wp:anchor distT="0" distB="0" distL="114300" distR="114300" simplePos="0" relativeHeight="251658240" behindDoc="1" locked="0" layoutInCell="1" allowOverlap="1" wp14:anchorId="2749D852" wp14:editId="56FC7F61">
          <wp:simplePos x="0" y="0"/>
          <wp:positionH relativeFrom="page">
            <wp:posOffset>-3810</wp:posOffset>
          </wp:positionH>
          <wp:positionV relativeFrom="page">
            <wp:posOffset>-732790</wp:posOffset>
          </wp:positionV>
          <wp:extent cx="7560310" cy="10680700"/>
          <wp:effectExtent l="19050" t="0" r="2540" b="0"/>
          <wp:wrapNone/>
          <wp:docPr id="229"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0310" cy="10680700"/>
                  </a:xfrm>
                  <a:prstGeom prst="rect">
                    <a:avLst/>
                  </a:prstGeom>
                  <a:noFill/>
                  <a:ln w="3175" cap="flat">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F78F" w14:textId="47ED179E" w:rsidR="00654B62" w:rsidRPr="00937579" w:rsidRDefault="00BC369D" w:rsidP="007B4C57">
    <w:pPr>
      <w:pStyle w:val="Intestazioneriga1"/>
      <w:tabs>
        <w:tab w:val="left" w:pos="3969"/>
      </w:tabs>
      <w:ind w:left="-1559"/>
      <w:jc w:val="left"/>
      <w:rPr>
        <w:rFonts w:ascii="Montserrat SemiBold" w:hAnsi="Montserrat SemiBold"/>
        <w:color w:val="074B87"/>
        <w:kern w:val="24"/>
        <w:sz w:val="20"/>
        <w:szCs w:val="20"/>
      </w:rPr>
    </w:pPr>
    <w:r>
      <w:rPr>
        <w:noProof/>
      </w:rPr>
      <w:drawing>
        <wp:anchor distT="0" distB="0" distL="114300" distR="114300" simplePos="0" relativeHeight="251661312" behindDoc="1" locked="0" layoutInCell="1" allowOverlap="1" wp14:anchorId="72CAEAA6" wp14:editId="1A8FAFC3">
          <wp:simplePos x="0" y="0"/>
          <wp:positionH relativeFrom="column">
            <wp:posOffset>3809926</wp:posOffset>
          </wp:positionH>
          <wp:positionV relativeFrom="paragraph">
            <wp:posOffset>127066</wp:posOffset>
          </wp:positionV>
          <wp:extent cx="1702800" cy="586800"/>
          <wp:effectExtent l="0" t="0" r="0" b="0"/>
          <wp:wrapTight wrapText="bothSides">
            <wp:wrapPolygon edited="0">
              <wp:start x="0" y="0"/>
              <wp:lineTo x="0" y="21039"/>
              <wp:lineTo x="21431" y="21039"/>
              <wp:lineTo x="21431" y="0"/>
              <wp:lineTo x="0" y="0"/>
            </wp:wrapPolygon>
          </wp:wrapTight>
          <wp:docPr id="1016531321" name="Immagine 3"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31321" name="Immagine 3" descr="Immagine che contiene Carattere, testo, Elementi grafici,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8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BC6" w:rsidRPr="00931113">
      <w:rPr>
        <w:rFonts w:ascii="Montserrat SemiBold" w:hAnsi="Montserrat SemiBold"/>
        <w:noProof/>
        <w:kern w:val="24"/>
        <w:sz w:val="32"/>
        <w:szCs w:val="32"/>
        <w:lang w:eastAsia="it-IT"/>
      </w:rPr>
      <w:drawing>
        <wp:anchor distT="0" distB="0" distL="114300" distR="114300" simplePos="0" relativeHeight="251659264" behindDoc="0" locked="0" layoutInCell="1" allowOverlap="1" wp14:anchorId="3A22F6EC" wp14:editId="775BCE67">
          <wp:simplePos x="0" y="0"/>
          <wp:positionH relativeFrom="column">
            <wp:posOffset>-937260</wp:posOffset>
          </wp:positionH>
          <wp:positionV relativeFrom="paragraph">
            <wp:posOffset>57785</wp:posOffset>
          </wp:positionV>
          <wp:extent cx="2303780" cy="869950"/>
          <wp:effectExtent l="0" t="0" r="0" b="6350"/>
          <wp:wrapSquare wrapText="bothSides"/>
          <wp:docPr id="230" name="Immagine 23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303780" cy="869950"/>
                  </a:xfrm>
                  <a:prstGeom prst="rect">
                    <a:avLst/>
                  </a:prstGeom>
                </pic:spPr>
              </pic:pic>
            </a:graphicData>
          </a:graphic>
          <wp14:sizeRelH relativeFrom="page">
            <wp14:pctWidth>0</wp14:pctWidth>
          </wp14:sizeRelH>
          <wp14:sizeRelV relativeFrom="page">
            <wp14:pctHeight>0</wp14:pctHeight>
          </wp14:sizeRelV>
        </wp:anchor>
      </w:drawing>
    </w:r>
    <w:r w:rsidR="00C049A6">
      <w:rPr>
        <w:rFonts w:ascii="Montserrat SemiBold" w:hAnsi="Montserrat SemiBold"/>
        <w:color w:val="074B87"/>
        <w:kern w:val="24"/>
        <w:sz w:val="20"/>
        <w:szCs w:val="20"/>
      </w:rPr>
      <w:br/>
    </w:r>
    <w:r w:rsidR="00257610" w:rsidRPr="00C049A6">
      <w:rPr>
        <w:rFonts w:ascii="Montserrat SemiBold" w:hAnsi="Montserrat SemiBold"/>
        <w:color w:val="074B87"/>
        <w:kern w:val="24"/>
        <w:sz w:val="20"/>
        <w:szCs w:val="20"/>
      </w:rPr>
      <w:br/>
    </w:r>
    <w:r w:rsidR="007B4C57">
      <w:rPr>
        <w:rFonts w:ascii="Montserrat SemiBold" w:hAnsi="Montserrat SemiBold"/>
        <w:color w:val="074B87"/>
        <w:kern w:val="24"/>
        <w:sz w:val="20"/>
        <w:szCs w:val="20"/>
      </w:rPr>
      <w:t>Corso di Dottorato</w:t>
    </w:r>
    <w:r w:rsidR="007B4C57">
      <w:rPr>
        <w:rFonts w:ascii="Montserrat SemiBold" w:hAnsi="Montserrat SemiBold"/>
        <w:color w:val="074B87"/>
        <w:kern w:val="24"/>
        <w:sz w:val="20"/>
        <w:szCs w:val="20"/>
      </w:rPr>
      <w:br/>
      <w:t>in Transizione Ecologica</w:t>
    </w:r>
    <w:r w:rsidR="00937579">
      <w:rPr>
        <w:rFonts w:ascii="Montserrat SemiBold" w:hAnsi="Montserrat SemiBold"/>
        <w:color w:val="074B87"/>
        <w:kern w:val="24"/>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F175" w14:textId="77777777" w:rsidR="00BC369D" w:rsidRDefault="00BC36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F4E"/>
    <w:multiLevelType w:val="hybridMultilevel"/>
    <w:tmpl w:val="39E0C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A3ABF"/>
    <w:multiLevelType w:val="hybridMultilevel"/>
    <w:tmpl w:val="F752CE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E3A7EFB"/>
    <w:multiLevelType w:val="multilevel"/>
    <w:tmpl w:val="801C3E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3C942B8"/>
    <w:multiLevelType w:val="hybridMultilevel"/>
    <w:tmpl w:val="AEC2D372"/>
    <w:lvl w:ilvl="0" w:tplc="E2686E88">
      <w:numFmt w:val="bullet"/>
      <w:lvlText w:val=""/>
      <w:lvlJc w:val="left"/>
      <w:pPr>
        <w:ind w:left="720" w:hanging="360"/>
      </w:pPr>
      <w:rPr>
        <w:rFonts w:ascii="Wingdings" w:eastAsia="ヒラギノ角ゴ Pro W3"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FD1271"/>
    <w:multiLevelType w:val="multilevel"/>
    <w:tmpl w:val="3FAC02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1F9D130A"/>
    <w:multiLevelType w:val="hybridMultilevel"/>
    <w:tmpl w:val="371C7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6E5A92"/>
    <w:multiLevelType w:val="multilevel"/>
    <w:tmpl w:val="C68094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310425E"/>
    <w:multiLevelType w:val="hybridMultilevel"/>
    <w:tmpl w:val="B182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B23543"/>
    <w:multiLevelType w:val="hybridMultilevel"/>
    <w:tmpl w:val="D9680028"/>
    <w:lvl w:ilvl="0" w:tplc="F892BA68">
      <w:numFmt w:val="bullet"/>
      <w:lvlText w:val="-"/>
      <w:lvlJc w:val="left"/>
      <w:pPr>
        <w:ind w:left="720" w:hanging="360"/>
      </w:pPr>
      <w:rPr>
        <w:rFonts w:ascii="Arial" w:eastAsia="ヒラギノ角ゴ Pro W3"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515B0C"/>
    <w:multiLevelType w:val="hybridMultilevel"/>
    <w:tmpl w:val="5CCC6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1F3D3E"/>
    <w:multiLevelType w:val="multilevel"/>
    <w:tmpl w:val="8570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E2B0C"/>
    <w:multiLevelType w:val="hybridMultilevel"/>
    <w:tmpl w:val="29389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B3417D"/>
    <w:multiLevelType w:val="hybridMultilevel"/>
    <w:tmpl w:val="3CE21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0579CC"/>
    <w:multiLevelType w:val="hybridMultilevel"/>
    <w:tmpl w:val="AB9E80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C43F63"/>
    <w:multiLevelType w:val="hybridMultilevel"/>
    <w:tmpl w:val="FFA022C8"/>
    <w:lvl w:ilvl="0" w:tplc="576C2A24">
      <w:numFmt w:val="bullet"/>
      <w:lvlText w:val=""/>
      <w:lvlJc w:val="left"/>
      <w:pPr>
        <w:ind w:left="5180" w:hanging="360"/>
      </w:pPr>
      <w:rPr>
        <w:rFonts w:ascii="Wingdings" w:eastAsia="ヒラギノ角ゴ Pro W3" w:hAnsi="Wingdings"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15" w15:restartNumberingAfterBreak="0">
    <w:nsid w:val="67A32055"/>
    <w:multiLevelType w:val="hybridMultilevel"/>
    <w:tmpl w:val="740ED86A"/>
    <w:lvl w:ilvl="0" w:tplc="6E82F82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A43A07"/>
    <w:multiLevelType w:val="hybridMultilevel"/>
    <w:tmpl w:val="B36A6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7379DD"/>
    <w:multiLevelType w:val="hybridMultilevel"/>
    <w:tmpl w:val="D3449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9E4AB2"/>
    <w:multiLevelType w:val="multilevel"/>
    <w:tmpl w:val="937C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7C20ED"/>
    <w:multiLevelType w:val="multilevel"/>
    <w:tmpl w:val="BBAEACA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110849544">
    <w:abstractNumId w:val="14"/>
  </w:num>
  <w:num w:numId="2" w16cid:durableId="115607322">
    <w:abstractNumId w:val="3"/>
  </w:num>
  <w:num w:numId="3" w16cid:durableId="1957591492">
    <w:abstractNumId w:val="15"/>
  </w:num>
  <w:num w:numId="4" w16cid:durableId="1855918774">
    <w:abstractNumId w:val="8"/>
  </w:num>
  <w:num w:numId="5" w16cid:durableId="821118257">
    <w:abstractNumId w:val="7"/>
  </w:num>
  <w:num w:numId="6" w16cid:durableId="1482310799">
    <w:abstractNumId w:val="17"/>
  </w:num>
  <w:num w:numId="7" w16cid:durableId="1937326299">
    <w:abstractNumId w:val="12"/>
  </w:num>
  <w:num w:numId="8" w16cid:durableId="2123918287">
    <w:abstractNumId w:val="5"/>
  </w:num>
  <w:num w:numId="9" w16cid:durableId="1236084530">
    <w:abstractNumId w:val="11"/>
  </w:num>
  <w:num w:numId="10" w16cid:durableId="1161695203">
    <w:abstractNumId w:val="9"/>
  </w:num>
  <w:num w:numId="11" w16cid:durableId="1323000459">
    <w:abstractNumId w:val="16"/>
  </w:num>
  <w:num w:numId="12" w16cid:durableId="359357399">
    <w:abstractNumId w:val="2"/>
  </w:num>
  <w:num w:numId="13" w16cid:durableId="312029216">
    <w:abstractNumId w:val="4"/>
  </w:num>
  <w:num w:numId="14" w16cid:durableId="1835729644">
    <w:abstractNumId w:val="6"/>
  </w:num>
  <w:num w:numId="15" w16cid:durableId="1394936258">
    <w:abstractNumId w:val="19"/>
  </w:num>
  <w:num w:numId="16" w16cid:durableId="99763455">
    <w:abstractNumId w:val="0"/>
  </w:num>
  <w:num w:numId="17" w16cid:durableId="1661427075">
    <w:abstractNumId w:val="10"/>
  </w:num>
  <w:num w:numId="18" w16cid:durableId="29034900">
    <w:abstractNumId w:val="1"/>
  </w:num>
  <w:num w:numId="19" w16cid:durableId="1181774889">
    <w:abstractNumId w:val="18"/>
  </w:num>
  <w:num w:numId="20" w16cid:durableId="6944235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97"/>
    <w:rsid w:val="000031AB"/>
    <w:rsid w:val="00003F32"/>
    <w:rsid w:val="0000538F"/>
    <w:rsid w:val="00010005"/>
    <w:rsid w:val="000115D7"/>
    <w:rsid w:val="000269D9"/>
    <w:rsid w:val="00030DA7"/>
    <w:rsid w:val="00033AF9"/>
    <w:rsid w:val="00040854"/>
    <w:rsid w:val="00042302"/>
    <w:rsid w:val="00046649"/>
    <w:rsid w:val="000476C8"/>
    <w:rsid w:val="000501BC"/>
    <w:rsid w:val="00053A86"/>
    <w:rsid w:val="00054895"/>
    <w:rsid w:val="000631F9"/>
    <w:rsid w:val="00070D2A"/>
    <w:rsid w:val="0008187B"/>
    <w:rsid w:val="00083DC3"/>
    <w:rsid w:val="00086AE6"/>
    <w:rsid w:val="00092E10"/>
    <w:rsid w:val="00095638"/>
    <w:rsid w:val="00097BB4"/>
    <w:rsid w:val="000A76F9"/>
    <w:rsid w:val="000A7AD0"/>
    <w:rsid w:val="000B2664"/>
    <w:rsid w:val="000B3DF5"/>
    <w:rsid w:val="000B4D1F"/>
    <w:rsid w:val="000C1827"/>
    <w:rsid w:val="000C618A"/>
    <w:rsid w:val="000E0B77"/>
    <w:rsid w:val="000E163F"/>
    <w:rsid w:val="000E557D"/>
    <w:rsid w:val="001029C9"/>
    <w:rsid w:val="00104F34"/>
    <w:rsid w:val="0011056B"/>
    <w:rsid w:val="001127BE"/>
    <w:rsid w:val="00117887"/>
    <w:rsid w:val="0014250D"/>
    <w:rsid w:val="0014414E"/>
    <w:rsid w:val="0015226B"/>
    <w:rsid w:val="001554E4"/>
    <w:rsid w:val="0015670A"/>
    <w:rsid w:val="00173231"/>
    <w:rsid w:val="00191192"/>
    <w:rsid w:val="001943AA"/>
    <w:rsid w:val="001A186D"/>
    <w:rsid w:val="001A1A6A"/>
    <w:rsid w:val="001A79F4"/>
    <w:rsid w:val="001B0789"/>
    <w:rsid w:val="001B28A0"/>
    <w:rsid w:val="001D1164"/>
    <w:rsid w:val="001D12E1"/>
    <w:rsid w:val="001D147A"/>
    <w:rsid w:val="001D43E2"/>
    <w:rsid w:val="001D48A0"/>
    <w:rsid w:val="001E2807"/>
    <w:rsid w:val="001E3032"/>
    <w:rsid w:val="001F1865"/>
    <w:rsid w:val="001F43C7"/>
    <w:rsid w:val="002112A1"/>
    <w:rsid w:val="002302C9"/>
    <w:rsid w:val="00240A29"/>
    <w:rsid w:val="00241BDC"/>
    <w:rsid w:val="002439D5"/>
    <w:rsid w:val="00244AFD"/>
    <w:rsid w:val="00247743"/>
    <w:rsid w:val="00253F2C"/>
    <w:rsid w:val="00257610"/>
    <w:rsid w:val="00266ECD"/>
    <w:rsid w:val="00273FFD"/>
    <w:rsid w:val="0027601D"/>
    <w:rsid w:val="00276A91"/>
    <w:rsid w:val="00281501"/>
    <w:rsid w:val="002C4429"/>
    <w:rsid w:val="002D0A95"/>
    <w:rsid w:val="002D21BD"/>
    <w:rsid w:val="002D3218"/>
    <w:rsid w:val="002D3F00"/>
    <w:rsid w:val="002D4A52"/>
    <w:rsid w:val="002D58B0"/>
    <w:rsid w:val="002D698C"/>
    <w:rsid w:val="002D74DB"/>
    <w:rsid w:val="002D7A95"/>
    <w:rsid w:val="002E0278"/>
    <w:rsid w:val="002E54AF"/>
    <w:rsid w:val="002F4DAB"/>
    <w:rsid w:val="002F5A9E"/>
    <w:rsid w:val="00303A39"/>
    <w:rsid w:val="00305907"/>
    <w:rsid w:val="003105FA"/>
    <w:rsid w:val="00310A5C"/>
    <w:rsid w:val="00313491"/>
    <w:rsid w:val="00320493"/>
    <w:rsid w:val="0032347D"/>
    <w:rsid w:val="00333AB8"/>
    <w:rsid w:val="0034133F"/>
    <w:rsid w:val="00352AF0"/>
    <w:rsid w:val="00357E05"/>
    <w:rsid w:val="00363806"/>
    <w:rsid w:val="003710B4"/>
    <w:rsid w:val="00384B75"/>
    <w:rsid w:val="00385265"/>
    <w:rsid w:val="00385CC6"/>
    <w:rsid w:val="00390061"/>
    <w:rsid w:val="00392F0E"/>
    <w:rsid w:val="00396023"/>
    <w:rsid w:val="003964D3"/>
    <w:rsid w:val="003978F4"/>
    <w:rsid w:val="003A4FC4"/>
    <w:rsid w:val="003A7F22"/>
    <w:rsid w:val="003C6152"/>
    <w:rsid w:val="003C7A45"/>
    <w:rsid w:val="003D41A8"/>
    <w:rsid w:val="003E4376"/>
    <w:rsid w:val="003E520F"/>
    <w:rsid w:val="003E63F1"/>
    <w:rsid w:val="003F253C"/>
    <w:rsid w:val="00403BA4"/>
    <w:rsid w:val="004145A0"/>
    <w:rsid w:val="00420D40"/>
    <w:rsid w:val="00422A51"/>
    <w:rsid w:val="00422F25"/>
    <w:rsid w:val="00431CF4"/>
    <w:rsid w:val="004336E4"/>
    <w:rsid w:val="00435B1C"/>
    <w:rsid w:val="00440904"/>
    <w:rsid w:val="0044336B"/>
    <w:rsid w:val="00444F9C"/>
    <w:rsid w:val="0045442C"/>
    <w:rsid w:val="00462A5B"/>
    <w:rsid w:val="0046618B"/>
    <w:rsid w:val="00466C28"/>
    <w:rsid w:val="004851C6"/>
    <w:rsid w:val="004860DD"/>
    <w:rsid w:val="00487930"/>
    <w:rsid w:val="00487947"/>
    <w:rsid w:val="004A681F"/>
    <w:rsid w:val="004B1F61"/>
    <w:rsid w:val="004B4894"/>
    <w:rsid w:val="004C5C7C"/>
    <w:rsid w:val="004F31C7"/>
    <w:rsid w:val="004F4840"/>
    <w:rsid w:val="00501876"/>
    <w:rsid w:val="00514F92"/>
    <w:rsid w:val="005534CF"/>
    <w:rsid w:val="0055517E"/>
    <w:rsid w:val="00557218"/>
    <w:rsid w:val="00566C0B"/>
    <w:rsid w:val="00574A11"/>
    <w:rsid w:val="00577B7E"/>
    <w:rsid w:val="00585050"/>
    <w:rsid w:val="005A7E07"/>
    <w:rsid w:val="005B440A"/>
    <w:rsid w:val="005C12AB"/>
    <w:rsid w:val="005C520B"/>
    <w:rsid w:val="005C521C"/>
    <w:rsid w:val="005D16C2"/>
    <w:rsid w:val="005D45C3"/>
    <w:rsid w:val="005D5115"/>
    <w:rsid w:val="005E1123"/>
    <w:rsid w:val="005E18F7"/>
    <w:rsid w:val="005E7C71"/>
    <w:rsid w:val="005F0781"/>
    <w:rsid w:val="005F42D2"/>
    <w:rsid w:val="005F69C0"/>
    <w:rsid w:val="005F7288"/>
    <w:rsid w:val="0061501F"/>
    <w:rsid w:val="00623886"/>
    <w:rsid w:val="00624A31"/>
    <w:rsid w:val="00625E1B"/>
    <w:rsid w:val="0063119E"/>
    <w:rsid w:val="00646E5F"/>
    <w:rsid w:val="006538A3"/>
    <w:rsid w:val="00653F13"/>
    <w:rsid w:val="006545D0"/>
    <w:rsid w:val="00654B62"/>
    <w:rsid w:val="00656093"/>
    <w:rsid w:val="006601D3"/>
    <w:rsid w:val="006654BD"/>
    <w:rsid w:val="0067720F"/>
    <w:rsid w:val="00683897"/>
    <w:rsid w:val="00683B24"/>
    <w:rsid w:val="00685363"/>
    <w:rsid w:val="00696420"/>
    <w:rsid w:val="0069665F"/>
    <w:rsid w:val="006B2C38"/>
    <w:rsid w:val="006B7798"/>
    <w:rsid w:val="006D3708"/>
    <w:rsid w:val="006D5016"/>
    <w:rsid w:val="006E39DB"/>
    <w:rsid w:val="006E5156"/>
    <w:rsid w:val="006F50DE"/>
    <w:rsid w:val="00710DFA"/>
    <w:rsid w:val="007113D4"/>
    <w:rsid w:val="007115D3"/>
    <w:rsid w:val="00713780"/>
    <w:rsid w:val="0071403F"/>
    <w:rsid w:val="007208F5"/>
    <w:rsid w:val="00722DE5"/>
    <w:rsid w:val="00722FCE"/>
    <w:rsid w:val="00726756"/>
    <w:rsid w:val="00730774"/>
    <w:rsid w:val="0073289A"/>
    <w:rsid w:val="00736569"/>
    <w:rsid w:val="00740B3E"/>
    <w:rsid w:val="0074104C"/>
    <w:rsid w:val="00747B86"/>
    <w:rsid w:val="00764CE6"/>
    <w:rsid w:val="0077423A"/>
    <w:rsid w:val="007752CC"/>
    <w:rsid w:val="00775DB9"/>
    <w:rsid w:val="00780BE5"/>
    <w:rsid w:val="00782EBF"/>
    <w:rsid w:val="007845AF"/>
    <w:rsid w:val="00790DFA"/>
    <w:rsid w:val="007915F2"/>
    <w:rsid w:val="007947EC"/>
    <w:rsid w:val="00794900"/>
    <w:rsid w:val="00794AAD"/>
    <w:rsid w:val="00796D56"/>
    <w:rsid w:val="007A0639"/>
    <w:rsid w:val="007B14F8"/>
    <w:rsid w:val="007B4C57"/>
    <w:rsid w:val="007C3730"/>
    <w:rsid w:val="007C6F29"/>
    <w:rsid w:val="007C7803"/>
    <w:rsid w:val="007D065D"/>
    <w:rsid w:val="007D4097"/>
    <w:rsid w:val="007E3624"/>
    <w:rsid w:val="007E47E9"/>
    <w:rsid w:val="007E4E8F"/>
    <w:rsid w:val="007F67B4"/>
    <w:rsid w:val="00813B7B"/>
    <w:rsid w:val="0084045A"/>
    <w:rsid w:val="00842A03"/>
    <w:rsid w:val="0084336D"/>
    <w:rsid w:val="0084531B"/>
    <w:rsid w:val="008501A5"/>
    <w:rsid w:val="00860E19"/>
    <w:rsid w:val="00860FB4"/>
    <w:rsid w:val="00870D4A"/>
    <w:rsid w:val="00884B9E"/>
    <w:rsid w:val="00891CDE"/>
    <w:rsid w:val="00892748"/>
    <w:rsid w:val="00892C4B"/>
    <w:rsid w:val="008931F9"/>
    <w:rsid w:val="008A2151"/>
    <w:rsid w:val="008B6E40"/>
    <w:rsid w:val="008C2422"/>
    <w:rsid w:val="008C5A5E"/>
    <w:rsid w:val="008D2FD2"/>
    <w:rsid w:val="008D3866"/>
    <w:rsid w:val="008D3CF0"/>
    <w:rsid w:val="008E0BF4"/>
    <w:rsid w:val="008E193C"/>
    <w:rsid w:val="008E3283"/>
    <w:rsid w:val="008F0A03"/>
    <w:rsid w:val="008F6BC6"/>
    <w:rsid w:val="0092220B"/>
    <w:rsid w:val="009267B5"/>
    <w:rsid w:val="00931113"/>
    <w:rsid w:val="00934208"/>
    <w:rsid w:val="00936C53"/>
    <w:rsid w:val="00937579"/>
    <w:rsid w:val="00942129"/>
    <w:rsid w:val="00945D9B"/>
    <w:rsid w:val="009657E3"/>
    <w:rsid w:val="009728B7"/>
    <w:rsid w:val="00974816"/>
    <w:rsid w:val="00981195"/>
    <w:rsid w:val="009868FC"/>
    <w:rsid w:val="0099323F"/>
    <w:rsid w:val="009956B0"/>
    <w:rsid w:val="00995FEA"/>
    <w:rsid w:val="009A4481"/>
    <w:rsid w:val="009B0360"/>
    <w:rsid w:val="009B1C35"/>
    <w:rsid w:val="009B5D6F"/>
    <w:rsid w:val="009C635B"/>
    <w:rsid w:val="009D6F4E"/>
    <w:rsid w:val="009E50FF"/>
    <w:rsid w:val="009F1735"/>
    <w:rsid w:val="00A002F7"/>
    <w:rsid w:val="00A11AB8"/>
    <w:rsid w:val="00A23D3B"/>
    <w:rsid w:val="00A25D73"/>
    <w:rsid w:val="00A26396"/>
    <w:rsid w:val="00A3312D"/>
    <w:rsid w:val="00A3579D"/>
    <w:rsid w:val="00A36F3C"/>
    <w:rsid w:val="00A50105"/>
    <w:rsid w:val="00A6015A"/>
    <w:rsid w:val="00A636FB"/>
    <w:rsid w:val="00A64737"/>
    <w:rsid w:val="00A76BAD"/>
    <w:rsid w:val="00A80D01"/>
    <w:rsid w:val="00A8169F"/>
    <w:rsid w:val="00A8347A"/>
    <w:rsid w:val="00A85250"/>
    <w:rsid w:val="00A95F97"/>
    <w:rsid w:val="00AA4769"/>
    <w:rsid w:val="00AA691A"/>
    <w:rsid w:val="00AB0CCC"/>
    <w:rsid w:val="00AB1938"/>
    <w:rsid w:val="00AB72D7"/>
    <w:rsid w:val="00AC5F88"/>
    <w:rsid w:val="00AD0612"/>
    <w:rsid w:val="00AD097F"/>
    <w:rsid w:val="00AD7BAA"/>
    <w:rsid w:val="00AE34AA"/>
    <w:rsid w:val="00AE3978"/>
    <w:rsid w:val="00AE5A87"/>
    <w:rsid w:val="00AF5E4B"/>
    <w:rsid w:val="00B061D0"/>
    <w:rsid w:val="00B1132E"/>
    <w:rsid w:val="00B13855"/>
    <w:rsid w:val="00B15636"/>
    <w:rsid w:val="00B40D6E"/>
    <w:rsid w:val="00B425AF"/>
    <w:rsid w:val="00B46B78"/>
    <w:rsid w:val="00B4776B"/>
    <w:rsid w:val="00B53463"/>
    <w:rsid w:val="00B62C48"/>
    <w:rsid w:val="00B7358F"/>
    <w:rsid w:val="00B803FF"/>
    <w:rsid w:val="00B8100B"/>
    <w:rsid w:val="00B817E7"/>
    <w:rsid w:val="00B81E02"/>
    <w:rsid w:val="00B83B54"/>
    <w:rsid w:val="00B90807"/>
    <w:rsid w:val="00B9524C"/>
    <w:rsid w:val="00B97EEB"/>
    <w:rsid w:val="00BB5A56"/>
    <w:rsid w:val="00BC369D"/>
    <w:rsid w:val="00BD2B7D"/>
    <w:rsid w:val="00BE3125"/>
    <w:rsid w:val="00BE4686"/>
    <w:rsid w:val="00BF022A"/>
    <w:rsid w:val="00C049A6"/>
    <w:rsid w:val="00C10FAD"/>
    <w:rsid w:val="00C13213"/>
    <w:rsid w:val="00C160D0"/>
    <w:rsid w:val="00C16689"/>
    <w:rsid w:val="00C24FD2"/>
    <w:rsid w:val="00C34006"/>
    <w:rsid w:val="00C342D1"/>
    <w:rsid w:val="00C41428"/>
    <w:rsid w:val="00C44D8C"/>
    <w:rsid w:val="00C45357"/>
    <w:rsid w:val="00C52A36"/>
    <w:rsid w:val="00C52FF4"/>
    <w:rsid w:val="00C5497C"/>
    <w:rsid w:val="00C566FA"/>
    <w:rsid w:val="00C65D68"/>
    <w:rsid w:val="00C679C7"/>
    <w:rsid w:val="00C71AE8"/>
    <w:rsid w:val="00C72A1C"/>
    <w:rsid w:val="00C72D12"/>
    <w:rsid w:val="00C72F44"/>
    <w:rsid w:val="00C75260"/>
    <w:rsid w:val="00C90221"/>
    <w:rsid w:val="00C935B8"/>
    <w:rsid w:val="00CA550B"/>
    <w:rsid w:val="00CB28EB"/>
    <w:rsid w:val="00CB4EE4"/>
    <w:rsid w:val="00CD68A5"/>
    <w:rsid w:val="00CD75A5"/>
    <w:rsid w:val="00CE4DB4"/>
    <w:rsid w:val="00CF31F1"/>
    <w:rsid w:val="00CF7084"/>
    <w:rsid w:val="00CF7C6C"/>
    <w:rsid w:val="00D05D5A"/>
    <w:rsid w:val="00D2225E"/>
    <w:rsid w:val="00D2509F"/>
    <w:rsid w:val="00D26309"/>
    <w:rsid w:val="00D2633E"/>
    <w:rsid w:val="00D36AFC"/>
    <w:rsid w:val="00D40A59"/>
    <w:rsid w:val="00D4471A"/>
    <w:rsid w:val="00D45A94"/>
    <w:rsid w:val="00D521BA"/>
    <w:rsid w:val="00D6237A"/>
    <w:rsid w:val="00D76DC1"/>
    <w:rsid w:val="00D948B7"/>
    <w:rsid w:val="00DB1ACF"/>
    <w:rsid w:val="00DB2DA0"/>
    <w:rsid w:val="00DB6CA0"/>
    <w:rsid w:val="00DC639A"/>
    <w:rsid w:val="00DD2F8B"/>
    <w:rsid w:val="00DD3E64"/>
    <w:rsid w:val="00DE2D42"/>
    <w:rsid w:val="00DE30AD"/>
    <w:rsid w:val="00DE3A98"/>
    <w:rsid w:val="00DE5A4C"/>
    <w:rsid w:val="00DF52E1"/>
    <w:rsid w:val="00E03027"/>
    <w:rsid w:val="00E120F3"/>
    <w:rsid w:val="00E14070"/>
    <w:rsid w:val="00E2401F"/>
    <w:rsid w:val="00E27FE8"/>
    <w:rsid w:val="00E30E67"/>
    <w:rsid w:val="00E3382F"/>
    <w:rsid w:val="00E3457B"/>
    <w:rsid w:val="00E359FA"/>
    <w:rsid w:val="00E45179"/>
    <w:rsid w:val="00E47D46"/>
    <w:rsid w:val="00E5440E"/>
    <w:rsid w:val="00E62079"/>
    <w:rsid w:val="00E701C0"/>
    <w:rsid w:val="00E733C8"/>
    <w:rsid w:val="00E73D50"/>
    <w:rsid w:val="00E74320"/>
    <w:rsid w:val="00E74899"/>
    <w:rsid w:val="00E83924"/>
    <w:rsid w:val="00E83D0E"/>
    <w:rsid w:val="00E86C89"/>
    <w:rsid w:val="00E90A3F"/>
    <w:rsid w:val="00E91C40"/>
    <w:rsid w:val="00EA0DAE"/>
    <w:rsid w:val="00EA2880"/>
    <w:rsid w:val="00EA54DE"/>
    <w:rsid w:val="00EA5F81"/>
    <w:rsid w:val="00EA626C"/>
    <w:rsid w:val="00EB04D7"/>
    <w:rsid w:val="00EC7161"/>
    <w:rsid w:val="00ED15C9"/>
    <w:rsid w:val="00ED2C9D"/>
    <w:rsid w:val="00ED3443"/>
    <w:rsid w:val="00ED6048"/>
    <w:rsid w:val="00EE0F86"/>
    <w:rsid w:val="00EE290E"/>
    <w:rsid w:val="00EF6F55"/>
    <w:rsid w:val="00EF7354"/>
    <w:rsid w:val="00EF77CE"/>
    <w:rsid w:val="00F00FA0"/>
    <w:rsid w:val="00F10ED2"/>
    <w:rsid w:val="00F15A99"/>
    <w:rsid w:val="00F24417"/>
    <w:rsid w:val="00F26A40"/>
    <w:rsid w:val="00F32E98"/>
    <w:rsid w:val="00F42BEA"/>
    <w:rsid w:val="00F5536C"/>
    <w:rsid w:val="00F559E3"/>
    <w:rsid w:val="00F64D0C"/>
    <w:rsid w:val="00F70F80"/>
    <w:rsid w:val="00F74578"/>
    <w:rsid w:val="00F761DC"/>
    <w:rsid w:val="00F83C03"/>
    <w:rsid w:val="00F92163"/>
    <w:rsid w:val="00FA3BAA"/>
    <w:rsid w:val="00FA4A8A"/>
    <w:rsid w:val="00FB5865"/>
    <w:rsid w:val="00FC185B"/>
    <w:rsid w:val="00FC5EDD"/>
    <w:rsid w:val="00FD1AB1"/>
    <w:rsid w:val="00FD29C7"/>
    <w:rsid w:val="00FE0EB5"/>
    <w:rsid w:val="00FF0012"/>
    <w:rsid w:val="00FF4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8577DB"/>
  <w15:docId w15:val="{C0CE456A-4D36-41A8-A3B8-18DF1370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1">
    <w:name w:val="heading 1"/>
    <w:basedOn w:val="Normale"/>
    <w:next w:val="Normale"/>
    <w:link w:val="Titolo1Carattere"/>
    <w:qFormat/>
    <w:rsid w:val="00740B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link w:val="PidipaginaCarattere"/>
    <w:uiPriority w:val="99"/>
    <w:rsid w:val="009F0146"/>
    <w:pPr>
      <w:jc w:val="center"/>
    </w:pPr>
    <w:rPr>
      <w:rFonts w:eastAsia="ヒラギノ角ゴ Pro W3"/>
      <w:color w:val="000000"/>
      <w:sz w:val="16"/>
    </w:rPr>
  </w:style>
  <w:style w:type="paragraph" w:styleId="Intestazione">
    <w:name w:val="header"/>
    <w:basedOn w:val="Normale"/>
    <w:link w:val="IntestazioneCarattere"/>
    <w:uiPriority w:val="99"/>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link w:val="Intestazione"/>
    <w:uiPriority w:val="99"/>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uiPriority w:val="34"/>
    <w:qFormat/>
    <w:rsid w:val="002D21BD"/>
    <w:pPr>
      <w:ind w:left="720"/>
      <w:contextualSpacing/>
    </w:pPr>
  </w:style>
  <w:style w:type="paragraph" w:styleId="NormaleWeb">
    <w:name w:val="Normal (Web)"/>
    <w:basedOn w:val="Normale"/>
    <w:uiPriority w:val="99"/>
    <w:unhideWhenUsed/>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iPriority w:val="99"/>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 w:type="paragraph" w:styleId="Corpotesto">
    <w:name w:val="Body Text"/>
    <w:basedOn w:val="Normale"/>
    <w:link w:val="CorpotestoCarattere"/>
    <w:uiPriority w:val="1"/>
    <w:qFormat/>
    <w:rsid w:val="00B13855"/>
    <w:rPr>
      <w:rFonts w:eastAsia="Times New Roman"/>
      <w:color w:val="auto"/>
      <w:sz w:val="28"/>
      <w:szCs w:val="20"/>
      <w:lang w:eastAsia="it-IT"/>
    </w:rPr>
  </w:style>
  <w:style w:type="character" w:customStyle="1" w:styleId="CorpotestoCarattere">
    <w:name w:val="Corpo testo Carattere"/>
    <w:basedOn w:val="Carpredefinitoparagrafo"/>
    <w:link w:val="Corpotesto"/>
    <w:uiPriority w:val="1"/>
    <w:rsid w:val="00B13855"/>
    <w:rPr>
      <w:sz w:val="28"/>
    </w:rPr>
  </w:style>
  <w:style w:type="paragraph" w:customStyle="1" w:styleId="Body1">
    <w:name w:val="Body 1"/>
    <w:rsid w:val="00B13855"/>
    <w:rPr>
      <w:rFonts w:ascii="Helvetica" w:eastAsia="Arial Unicode MS" w:hAnsi="Helvetica"/>
      <w:color w:val="000000"/>
      <w:sz w:val="24"/>
    </w:rPr>
  </w:style>
  <w:style w:type="paragraph" w:styleId="Rientrocorpodeltesto">
    <w:name w:val="Body Text Indent"/>
    <w:basedOn w:val="Normale"/>
    <w:link w:val="RientrocorpodeltestoCarattere"/>
    <w:semiHidden/>
    <w:unhideWhenUsed/>
    <w:rsid w:val="007E4E8F"/>
    <w:pPr>
      <w:spacing w:after="120"/>
      <w:ind w:left="283"/>
    </w:pPr>
  </w:style>
  <w:style w:type="character" w:customStyle="1" w:styleId="RientrocorpodeltestoCarattere">
    <w:name w:val="Rientro corpo del testo Carattere"/>
    <w:basedOn w:val="Carpredefinitoparagrafo"/>
    <w:link w:val="Rientrocorpodeltesto"/>
    <w:semiHidden/>
    <w:rsid w:val="007E4E8F"/>
    <w:rPr>
      <w:rFonts w:eastAsia="ヒラギノ角ゴ Pro W3"/>
      <w:color w:val="000000"/>
      <w:sz w:val="24"/>
      <w:szCs w:val="24"/>
      <w:lang w:eastAsia="en-US"/>
    </w:rPr>
  </w:style>
  <w:style w:type="paragraph" w:customStyle="1" w:styleId="Default">
    <w:name w:val="Default"/>
    <w:rsid w:val="00FB5865"/>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8F6BC6"/>
    <w:rPr>
      <w:color w:val="605E5C"/>
      <w:shd w:val="clear" w:color="auto" w:fill="E1DFDD"/>
    </w:rPr>
  </w:style>
  <w:style w:type="character" w:styleId="Numeropagina">
    <w:name w:val="page number"/>
    <w:basedOn w:val="Carpredefinitoparagrafo"/>
    <w:uiPriority w:val="99"/>
    <w:semiHidden/>
    <w:unhideWhenUsed/>
    <w:rsid w:val="00EF7354"/>
  </w:style>
  <w:style w:type="character" w:customStyle="1" w:styleId="Titolo1Carattere">
    <w:name w:val="Titolo 1 Carattere"/>
    <w:basedOn w:val="Carpredefinitoparagrafo"/>
    <w:link w:val="Titolo1"/>
    <w:rsid w:val="00740B3E"/>
    <w:rPr>
      <w:rFonts w:asciiTheme="majorHAnsi" w:eastAsiaTheme="majorEastAsia" w:hAnsiTheme="majorHAnsi" w:cstheme="majorBidi"/>
      <w:color w:val="365F91" w:themeColor="accent1" w:themeShade="BF"/>
      <w:sz w:val="32"/>
      <w:szCs w:val="32"/>
      <w:lang w:eastAsia="en-US"/>
    </w:rPr>
  </w:style>
  <w:style w:type="paragraph" w:customStyle="1" w:styleId="TableParagraph">
    <w:name w:val="Table Paragraph"/>
    <w:basedOn w:val="Normale"/>
    <w:uiPriority w:val="1"/>
    <w:qFormat/>
    <w:rsid w:val="00740B3E"/>
    <w:pPr>
      <w:widowControl w:val="0"/>
      <w:autoSpaceDE w:val="0"/>
      <w:autoSpaceDN w:val="0"/>
      <w:jc w:val="left"/>
    </w:pPr>
    <w:rPr>
      <w:rFonts w:eastAsia="Times New Roman"/>
      <w:color w:val="auto"/>
      <w:sz w:val="22"/>
      <w:szCs w:val="22"/>
    </w:rPr>
  </w:style>
  <w:style w:type="table" w:customStyle="1" w:styleId="TableNormal1">
    <w:name w:val="Table Normal1"/>
    <w:uiPriority w:val="2"/>
    <w:semiHidden/>
    <w:qFormat/>
    <w:rsid w:val="00740B3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PidipaginaCarattere">
    <w:name w:val="Piè di pagina Carattere"/>
    <w:basedOn w:val="Carpredefinitoparagrafo"/>
    <w:link w:val="Pidipagina"/>
    <w:uiPriority w:val="99"/>
    <w:rsid w:val="00E83924"/>
    <w:rPr>
      <w:rFonts w:eastAsia="ヒラギノ角ゴ Pro W3"/>
      <w:color w:val="000000"/>
      <w:sz w:val="16"/>
    </w:rPr>
  </w:style>
  <w:style w:type="paragraph" w:styleId="Revisione">
    <w:name w:val="Revision"/>
    <w:hidden/>
    <w:uiPriority w:val="99"/>
    <w:semiHidden/>
    <w:rsid w:val="00E83924"/>
    <w:rPr>
      <w:rFonts w:asciiTheme="minorHAnsi" w:eastAsiaTheme="minorHAnsi" w:hAnsiTheme="minorHAnsi" w:cstheme="minorBidi"/>
      <w:sz w:val="22"/>
      <w:szCs w:val="22"/>
      <w:lang w:eastAsia="en-US"/>
    </w:rPr>
  </w:style>
  <w:style w:type="paragraph" w:styleId="PreformattatoHTML">
    <w:name w:val="HTML Preformatted"/>
    <w:basedOn w:val="Normale"/>
    <w:link w:val="PreformattatoHTMLCarattere"/>
    <w:rsid w:val="00E83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left"/>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rsid w:val="00E83924"/>
    <w:rPr>
      <w:rFonts w:ascii="Courier New" w:hAnsi="Courier New" w:cs="Courier New"/>
    </w:rPr>
  </w:style>
  <w:style w:type="character" w:customStyle="1" w:styleId="markedcontent">
    <w:name w:val="markedcontent"/>
    <w:basedOn w:val="Carpredefinitoparagrafo"/>
    <w:rsid w:val="00E83924"/>
  </w:style>
  <w:style w:type="paragraph" w:customStyle="1" w:styleId="tableparagraph0">
    <w:name w:val="tableparagraph"/>
    <w:basedOn w:val="Normale"/>
    <w:rsid w:val="00E83924"/>
    <w:pPr>
      <w:spacing w:before="100" w:beforeAutospacing="1" w:after="100" w:afterAutospacing="1"/>
      <w:jc w:val="left"/>
    </w:pPr>
    <w:rPr>
      <w:rFonts w:eastAsia="Times New Roman"/>
      <w:color w:val="auto"/>
      <w:lang w:eastAsia="it-IT"/>
    </w:rPr>
  </w:style>
  <w:style w:type="character" w:styleId="Rimandocommento">
    <w:name w:val="annotation reference"/>
    <w:basedOn w:val="Carpredefinitoparagrafo"/>
    <w:uiPriority w:val="99"/>
    <w:semiHidden/>
    <w:unhideWhenUsed/>
    <w:rsid w:val="00E83924"/>
    <w:rPr>
      <w:sz w:val="16"/>
      <w:szCs w:val="16"/>
    </w:rPr>
  </w:style>
  <w:style w:type="paragraph" w:styleId="Testocommento">
    <w:name w:val="annotation text"/>
    <w:basedOn w:val="Normale"/>
    <w:link w:val="TestocommentoCarattere"/>
    <w:uiPriority w:val="99"/>
    <w:unhideWhenUsed/>
    <w:rsid w:val="00E83924"/>
    <w:pPr>
      <w:spacing w:after="160"/>
      <w:jc w:val="left"/>
    </w:pPr>
    <w:rPr>
      <w:rFonts w:asciiTheme="minorHAnsi" w:eastAsiaTheme="minorHAnsi" w:hAnsiTheme="minorHAnsi" w:cstheme="minorBidi"/>
      <w:color w:val="auto"/>
      <w:sz w:val="20"/>
      <w:szCs w:val="20"/>
    </w:rPr>
  </w:style>
  <w:style w:type="character" w:customStyle="1" w:styleId="TestocommentoCarattere">
    <w:name w:val="Testo commento Carattere"/>
    <w:basedOn w:val="Carpredefinitoparagrafo"/>
    <w:link w:val="Testocommento"/>
    <w:uiPriority w:val="99"/>
    <w:rsid w:val="00E83924"/>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uiPriority w:val="99"/>
    <w:semiHidden/>
    <w:unhideWhenUsed/>
    <w:rsid w:val="00E83924"/>
    <w:rPr>
      <w:b/>
      <w:bCs/>
    </w:rPr>
  </w:style>
  <w:style w:type="character" w:customStyle="1" w:styleId="SoggettocommentoCarattere">
    <w:name w:val="Soggetto commento Carattere"/>
    <w:basedOn w:val="TestocommentoCarattere"/>
    <w:link w:val="Soggettocommento"/>
    <w:uiPriority w:val="99"/>
    <w:semiHidden/>
    <w:rsid w:val="00E83924"/>
    <w:rPr>
      <w:rFonts w:asciiTheme="minorHAnsi" w:eastAsiaTheme="minorHAnsi" w:hAnsiTheme="minorHAnsi" w:cstheme="minorBidi"/>
      <w:b/>
      <w:bCs/>
      <w:lang w:eastAsia="en-US"/>
    </w:rPr>
  </w:style>
  <w:style w:type="character" w:styleId="Collegamentovisitato">
    <w:name w:val="FollowedHyperlink"/>
    <w:basedOn w:val="Carpredefinitoparagrafo"/>
    <w:semiHidden/>
    <w:unhideWhenUsed/>
    <w:rsid w:val="003E63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49939">
      <w:bodyDiv w:val="1"/>
      <w:marLeft w:val="0"/>
      <w:marRight w:val="0"/>
      <w:marTop w:val="0"/>
      <w:marBottom w:val="0"/>
      <w:divBdr>
        <w:top w:val="none" w:sz="0" w:space="0" w:color="auto"/>
        <w:left w:val="none" w:sz="0" w:space="0" w:color="auto"/>
        <w:bottom w:val="none" w:sz="0" w:space="0" w:color="auto"/>
        <w:right w:val="none" w:sz="0" w:space="0" w:color="auto"/>
      </w:divBdr>
    </w:div>
    <w:div w:id="646396966">
      <w:bodyDiv w:val="1"/>
      <w:marLeft w:val="0"/>
      <w:marRight w:val="0"/>
      <w:marTop w:val="0"/>
      <w:marBottom w:val="0"/>
      <w:divBdr>
        <w:top w:val="none" w:sz="0" w:space="0" w:color="auto"/>
        <w:left w:val="none" w:sz="0" w:space="0" w:color="auto"/>
        <w:bottom w:val="none" w:sz="0" w:space="0" w:color="auto"/>
        <w:right w:val="none" w:sz="0" w:space="0" w:color="auto"/>
      </w:divBdr>
    </w:div>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211303950">
      <w:bodyDiv w:val="1"/>
      <w:marLeft w:val="0"/>
      <w:marRight w:val="0"/>
      <w:marTop w:val="0"/>
      <w:marBottom w:val="0"/>
      <w:divBdr>
        <w:top w:val="none" w:sz="0" w:space="0" w:color="auto"/>
        <w:left w:val="none" w:sz="0" w:space="0" w:color="auto"/>
        <w:bottom w:val="none" w:sz="0" w:space="0" w:color="auto"/>
        <w:right w:val="none" w:sz="0" w:space="0" w:color="auto"/>
      </w:divBdr>
    </w:div>
    <w:div w:id="1247347773">
      <w:bodyDiv w:val="1"/>
      <w:marLeft w:val="0"/>
      <w:marRight w:val="0"/>
      <w:marTop w:val="0"/>
      <w:marBottom w:val="0"/>
      <w:divBdr>
        <w:top w:val="none" w:sz="0" w:space="0" w:color="auto"/>
        <w:left w:val="none" w:sz="0" w:space="0" w:color="auto"/>
        <w:bottom w:val="none" w:sz="0" w:space="0" w:color="auto"/>
        <w:right w:val="none" w:sz="0" w:space="0" w:color="auto"/>
      </w:divBdr>
    </w:div>
    <w:div w:id="1494486366">
      <w:bodyDiv w:val="1"/>
      <w:marLeft w:val="0"/>
      <w:marRight w:val="0"/>
      <w:marTop w:val="0"/>
      <w:marBottom w:val="0"/>
      <w:divBdr>
        <w:top w:val="none" w:sz="0" w:space="0" w:color="auto"/>
        <w:left w:val="none" w:sz="0" w:space="0" w:color="auto"/>
        <w:bottom w:val="none" w:sz="0" w:space="0" w:color="auto"/>
        <w:right w:val="none" w:sz="0" w:space="0" w:color="auto"/>
      </w:divBdr>
    </w:div>
    <w:div w:id="1543903774">
      <w:bodyDiv w:val="1"/>
      <w:marLeft w:val="0"/>
      <w:marRight w:val="0"/>
      <w:marTop w:val="0"/>
      <w:marBottom w:val="0"/>
      <w:divBdr>
        <w:top w:val="none" w:sz="0" w:space="0" w:color="auto"/>
        <w:left w:val="none" w:sz="0" w:space="0" w:color="auto"/>
        <w:bottom w:val="none" w:sz="0" w:space="0" w:color="auto"/>
        <w:right w:val="none" w:sz="0" w:space="0" w:color="auto"/>
      </w:divBdr>
    </w:div>
    <w:div w:id="1547720830">
      <w:bodyDiv w:val="1"/>
      <w:marLeft w:val="0"/>
      <w:marRight w:val="0"/>
      <w:marTop w:val="0"/>
      <w:marBottom w:val="0"/>
      <w:divBdr>
        <w:top w:val="none" w:sz="0" w:space="0" w:color="auto"/>
        <w:left w:val="none" w:sz="0" w:space="0" w:color="auto"/>
        <w:bottom w:val="none" w:sz="0" w:space="0" w:color="auto"/>
        <w:right w:val="none" w:sz="0" w:space="0" w:color="auto"/>
      </w:divBdr>
    </w:div>
    <w:div w:id="1673755118">
      <w:bodyDiv w:val="1"/>
      <w:marLeft w:val="0"/>
      <w:marRight w:val="0"/>
      <w:marTop w:val="0"/>
      <w:marBottom w:val="0"/>
      <w:divBdr>
        <w:top w:val="none" w:sz="0" w:space="0" w:color="auto"/>
        <w:left w:val="none" w:sz="0" w:space="0" w:color="auto"/>
        <w:bottom w:val="none" w:sz="0" w:space="0" w:color="auto"/>
        <w:right w:val="none" w:sz="0" w:space="0" w:color="auto"/>
      </w:divBdr>
    </w:div>
    <w:div w:id="1760985041">
      <w:bodyDiv w:val="1"/>
      <w:marLeft w:val="0"/>
      <w:marRight w:val="0"/>
      <w:marTop w:val="0"/>
      <w:marBottom w:val="0"/>
      <w:divBdr>
        <w:top w:val="none" w:sz="0" w:space="0" w:color="auto"/>
        <w:left w:val="none" w:sz="0" w:space="0" w:color="auto"/>
        <w:bottom w:val="none" w:sz="0" w:space="0" w:color="auto"/>
        <w:right w:val="none" w:sz="0" w:space="0" w:color="auto"/>
      </w:divBdr>
    </w:div>
    <w:div w:id="1786191113">
      <w:bodyDiv w:val="1"/>
      <w:marLeft w:val="0"/>
      <w:marRight w:val="0"/>
      <w:marTop w:val="0"/>
      <w:marBottom w:val="0"/>
      <w:divBdr>
        <w:top w:val="none" w:sz="0" w:space="0" w:color="auto"/>
        <w:left w:val="none" w:sz="0" w:space="0" w:color="auto"/>
        <w:bottom w:val="none" w:sz="0" w:space="0" w:color="auto"/>
        <w:right w:val="none" w:sz="0" w:space="0" w:color="auto"/>
      </w:divBdr>
    </w:div>
    <w:div w:id="1791629941">
      <w:bodyDiv w:val="1"/>
      <w:marLeft w:val="0"/>
      <w:marRight w:val="0"/>
      <w:marTop w:val="0"/>
      <w:marBottom w:val="0"/>
      <w:divBdr>
        <w:top w:val="none" w:sz="0" w:space="0" w:color="auto"/>
        <w:left w:val="none" w:sz="0" w:space="0" w:color="auto"/>
        <w:bottom w:val="none" w:sz="0" w:space="0" w:color="auto"/>
        <w:right w:val="none" w:sz="0" w:space="0" w:color="auto"/>
      </w:divBdr>
    </w:div>
    <w:div w:id="2091461388">
      <w:bodyDiv w:val="1"/>
      <w:marLeft w:val="0"/>
      <w:marRight w:val="0"/>
      <w:marTop w:val="0"/>
      <w:marBottom w:val="0"/>
      <w:divBdr>
        <w:top w:val="none" w:sz="0" w:space="0" w:color="auto"/>
        <w:left w:val="none" w:sz="0" w:space="0" w:color="auto"/>
        <w:bottom w:val="none" w:sz="0" w:space="0" w:color="auto"/>
        <w:right w:val="none" w:sz="0" w:space="0" w:color="auto"/>
      </w:divBdr>
    </w:div>
    <w:div w:id="209389181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5">
          <w:marLeft w:val="0"/>
          <w:marRight w:val="0"/>
          <w:marTop w:val="0"/>
          <w:marBottom w:val="0"/>
          <w:divBdr>
            <w:top w:val="none" w:sz="0" w:space="0" w:color="auto"/>
            <w:left w:val="none" w:sz="0" w:space="0" w:color="auto"/>
            <w:bottom w:val="none" w:sz="0" w:space="0" w:color="auto"/>
            <w:right w:val="none" w:sz="0" w:space="0" w:color="auto"/>
          </w:divBdr>
        </w:div>
        <w:div w:id="95637785">
          <w:marLeft w:val="0"/>
          <w:marRight w:val="0"/>
          <w:marTop w:val="0"/>
          <w:marBottom w:val="0"/>
          <w:divBdr>
            <w:top w:val="none" w:sz="0" w:space="0" w:color="auto"/>
            <w:left w:val="none" w:sz="0" w:space="0" w:color="auto"/>
            <w:bottom w:val="none" w:sz="0" w:space="0" w:color="auto"/>
            <w:right w:val="none" w:sz="0" w:space="0" w:color="auto"/>
          </w:divBdr>
        </w:div>
        <w:div w:id="1175849600">
          <w:marLeft w:val="0"/>
          <w:marRight w:val="0"/>
          <w:marTop w:val="0"/>
          <w:marBottom w:val="0"/>
          <w:divBdr>
            <w:top w:val="none" w:sz="0" w:space="0" w:color="auto"/>
            <w:left w:val="none" w:sz="0" w:space="0" w:color="auto"/>
            <w:bottom w:val="none" w:sz="0" w:space="0" w:color="auto"/>
            <w:right w:val="none" w:sz="0" w:space="0" w:color="auto"/>
          </w:divBdr>
        </w:div>
        <w:div w:id="1257059417">
          <w:marLeft w:val="0"/>
          <w:marRight w:val="0"/>
          <w:marTop w:val="0"/>
          <w:marBottom w:val="0"/>
          <w:divBdr>
            <w:top w:val="none" w:sz="0" w:space="0" w:color="auto"/>
            <w:left w:val="none" w:sz="0" w:space="0" w:color="auto"/>
            <w:bottom w:val="none" w:sz="0" w:space="0" w:color="auto"/>
            <w:right w:val="none" w:sz="0" w:space="0" w:color="auto"/>
          </w:divBdr>
        </w:div>
        <w:div w:id="1398478914">
          <w:marLeft w:val="0"/>
          <w:marRight w:val="0"/>
          <w:marTop w:val="0"/>
          <w:marBottom w:val="0"/>
          <w:divBdr>
            <w:top w:val="none" w:sz="0" w:space="0" w:color="auto"/>
            <w:left w:val="none" w:sz="0" w:space="0" w:color="auto"/>
            <w:bottom w:val="none" w:sz="0" w:space="0" w:color="auto"/>
            <w:right w:val="none" w:sz="0" w:space="0" w:color="auto"/>
          </w:divBdr>
        </w:div>
        <w:div w:id="909189836">
          <w:marLeft w:val="0"/>
          <w:marRight w:val="0"/>
          <w:marTop w:val="0"/>
          <w:marBottom w:val="0"/>
          <w:divBdr>
            <w:top w:val="none" w:sz="0" w:space="0" w:color="auto"/>
            <w:left w:val="none" w:sz="0" w:space="0" w:color="auto"/>
            <w:bottom w:val="none" w:sz="0" w:space="0" w:color="auto"/>
            <w:right w:val="none" w:sz="0" w:space="0" w:color="auto"/>
          </w:divBdr>
        </w:div>
        <w:div w:id="2134668612">
          <w:marLeft w:val="0"/>
          <w:marRight w:val="0"/>
          <w:marTop w:val="0"/>
          <w:marBottom w:val="0"/>
          <w:divBdr>
            <w:top w:val="none" w:sz="0" w:space="0" w:color="auto"/>
            <w:left w:val="none" w:sz="0" w:space="0" w:color="auto"/>
            <w:bottom w:val="none" w:sz="0" w:space="0" w:color="auto"/>
            <w:right w:val="none" w:sz="0" w:space="0" w:color="auto"/>
          </w:divBdr>
        </w:div>
        <w:div w:id="1576697514">
          <w:marLeft w:val="0"/>
          <w:marRight w:val="0"/>
          <w:marTop w:val="0"/>
          <w:marBottom w:val="0"/>
          <w:divBdr>
            <w:top w:val="none" w:sz="0" w:space="0" w:color="auto"/>
            <w:left w:val="none" w:sz="0" w:space="0" w:color="auto"/>
            <w:bottom w:val="none" w:sz="0" w:space="0" w:color="auto"/>
            <w:right w:val="none" w:sz="0" w:space="0" w:color="auto"/>
          </w:divBdr>
        </w:div>
        <w:div w:id="1581022889">
          <w:marLeft w:val="0"/>
          <w:marRight w:val="0"/>
          <w:marTop w:val="0"/>
          <w:marBottom w:val="0"/>
          <w:divBdr>
            <w:top w:val="none" w:sz="0" w:space="0" w:color="auto"/>
            <w:left w:val="none" w:sz="0" w:space="0" w:color="auto"/>
            <w:bottom w:val="none" w:sz="0" w:space="0" w:color="auto"/>
            <w:right w:val="none" w:sz="0" w:space="0" w:color="auto"/>
          </w:divBdr>
        </w:div>
        <w:div w:id="989014273">
          <w:marLeft w:val="0"/>
          <w:marRight w:val="0"/>
          <w:marTop w:val="0"/>
          <w:marBottom w:val="0"/>
          <w:divBdr>
            <w:top w:val="none" w:sz="0" w:space="0" w:color="auto"/>
            <w:left w:val="none" w:sz="0" w:space="0" w:color="auto"/>
            <w:bottom w:val="none" w:sz="0" w:space="0" w:color="auto"/>
            <w:right w:val="none" w:sz="0" w:space="0" w:color="auto"/>
          </w:divBdr>
        </w:div>
        <w:div w:id="426312199">
          <w:marLeft w:val="0"/>
          <w:marRight w:val="0"/>
          <w:marTop w:val="0"/>
          <w:marBottom w:val="0"/>
          <w:divBdr>
            <w:top w:val="none" w:sz="0" w:space="0" w:color="auto"/>
            <w:left w:val="none" w:sz="0" w:space="0" w:color="auto"/>
            <w:bottom w:val="none" w:sz="0" w:space="0" w:color="auto"/>
            <w:right w:val="none" w:sz="0" w:space="0" w:color="auto"/>
          </w:divBdr>
        </w:div>
        <w:div w:id="1376078411">
          <w:marLeft w:val="0"/>
          <w:marRight w:val="0"/>
          <w:marTop w:val="0"/>
          <w:marBottom w:val="0"/>
          <w:divBdr>
            <w:top w:val="none" w:sz="0" w:space="0" w:color="auto"/>
            <w:left w:val="none" w:sz="0" w:space="0" w:color="auto"/>
            <w:bottom w:val="none" w:sz="0" w:space="0" w:color="auto"/>
            <w:right w:val="none" w:sz="0" w:space="0" w:color="auto"/>
          </w:divBdr>
        </w:div>
        <w:div w:id="1201555184">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bestr.it/badge/show/127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str.it/badge/show/273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estr.it/badge/show/20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str.it/badge/show/127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cste@unipa.it" TargetMode="External"/><Relationship Id="rId2" Type="http://schemas.openxmlformats.org/officeDocument/2006/relationships/hyperlink" Target="mailto:rad.cste@unipa.it" TargetMode="External"/><Relationship Id="rId1" Type="http://schemas.openxmlformats.org/officeDocument/2006/relationships/hyperlink" Target="mailto:direttore.cste@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557B-45AC-41C9-91ED-5CEE9F83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8387</Words>
  <Characters>47810</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56085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Fabio</dc:creator>
  <cp:lastModifiedBy>SALVATRICE VIZZINI</cp:lastModifiedBy>
  <cp:revision>27</cp:revision>
  <cp:lastPrinted>2022-11-24T10:47:00Z</cp:lastPrinted>
  <dcterms:created xsi:type="dcterms:W3CDTF">2025-06-08T18:24:00Z</dcterms:created>
  <dcterms:modified xsi:type="dcterms:W3CDTF">2025-07-25T14:14:00Z</dcterms:modified>
</cp:coreProperties>
</file>