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D8EC5" w14:textId="77777777" w:rsidR="00D647C0" w:rsidRDefault="00000000">
      <w:pPr>
        <w:spacing w:before="40" w:after="200"/>
        <w:jc w:val="center"/>
      </w:pPr>
      <w:r>
        <w:rPr>
          <w:b/>
          <w:bCs/>
          <w:color w:val="1F3864"/>
          <w:sz w:val="24"/>
          <w:szCs w:val="24"/>
        </w:rPr>
        <w:t>Commissione AQ Ricerca e Terza Missione 2024/2027</w:t>
      </w:r>
    </w:p>
    <w:p w14:paraId="3DBAF388" w14:textId="77777777" w:rsidR="00D647C0" w:rsidRDefault="00000000">
      <w:pPr>
        <w:pBdr>
          <w:bottom w:val="single" w:sz="8" w:space="8" w:color="1F3864"/>
        </w:pBdr>
        <w:spacing w:before="80" w:after="200"/>
        <w:jc w:val="center"/>
      </w:pPr>
      <w:r>
        <w:rPr>
          <w:b/>
          <w:bCs/>
          <w:sz w:val="32"/>
          <w:szCs w:val="32"/>
        </w:rPr>
        <w:t>Verbale n. 1 della riunione del 09/03/2026</w:t>
      </w:r>
    </w:p>
    <w:p w14:paraId="481D8BB0" w14:textId="681BC62F" w:rsidR="00D647C0" w:rsidRDefault="00000000">
      <w:r>
        <w:t xml:space="preserve">In data </w:t>
      </w:r>
      <w:r>
        <w:rPr>
          <w:b/>
          <w:bCs/>
        </w:rPr>
        <w:t>09 marzo 2026</w:t>
      </w:r>
      <w:r>
        <w:t xml:space="preserve">, alle ore </w:t>
      </w:r>
      <w:r>
        <w:rPr>
          <w:b/>
          <w:bCs/>
        </w:rPr>
        <w:t>15.00</w:t>
      </w:r>
      <w:r>
        <w:t xml:space="preserve">, presso </w:t>
      </w:r>
      <w:r>
        <w:rPr>
          <w:b/>
          <w:bCs/>
        </w:rPr>
        <w:t>l'aula C330, edificio 7</w:t>
      </w:r>
      <w:r>
        <w:t xml:space="preserve">, si riunisce la </w:t>
      </w:r>
      <w:r>
        <w:rPr>
          <w:b/>
          <w:bCs/>
        </w:rPr>
        <w:t>Commissione AQ Ricerca Dipartimentale e Terza Missione,</w:t>
      </w:r>
      <w:r>
        <w:t xml:space="preserve"> per discutere il seguente ordine del giorno:</w:t>
      </w:r>
    </w:p>
    <w:p w14:paraId="3084AC44" w14:textId="77777777" w:rsidR="00D647C0" w:rsidRDefault="00D647C0"/>
    <w:p w14:paraId="6CD1718F" w14:textId="77777777" w:rsidR="00D647C0" w:rsidRDefault="00000000">
      <w:r>
        <w:t xml:space="preserve">La riunione si svolge in </w:t>
      </w:r>
      <w:r>
        <w:rPr>
          <w:b/>
          <w:bCs/>
        </w:rPr>
        <w:t>seduta congiunta con la Commissione AQ Didattica Dipartimentale 2024/2027</w:t>
      </w:r>
      <w:r>
        <w:t>, specificamente per la trattazione del punto 2 all'O.d.G.</w:t>
      </w:r>
    </w:p>
    <w:p w14:paraId="39FE7861" w14:textId="77777777" w:rsidR="00D647C0" w:rsidRDefault="00D647C0"/>
    <w:p w14:paraId="725CFD9F" w14:textId="77777777" w:rsidR="00D647C0" w:rsidRDefault="00000000">
      <w:r>
        <w:rPr>
          <w:b/>
          <w:bCs/>
        </w:rPr>
        <w:t>Ordine del giorno:</w:t>
      </w:r>
    </w:p>
    <w:p w14:paraId="747ABB8A" w14:textId="77777777" w:rsidR="00D647C0" w:rsidRDefault="00000000">
      <w:pPr>
        <w:ind w:left="360"/>
      </w:pPr>
      <w:r>
        <w:t>1)  Comunicazioni</w:t>
      </w:r>
    </w:p>
    <w:p w14:paraId="237983DD" w14:textId="77777777" w:rsidR="00D647C0" w:rsidRDefault="00000000">
      <w:pPr>
        <w:ind w:left="360"/>
      </w:pPr>
      <w:r>
        <w:t>2)  Esiti visita CEV (AVA3)</w:t>
      </w:r>
    </w:p>
    <w:p w14:paraId="07C469F7" w14:textId="77777777" w:rsidR="00D647C0" w:rsidRDefault="00000000">
      <w:pPr>
        <w:ind w:left="360"/>
      </w:pPr>
      <w:r>
        <w:t>3)  Revisione dei regolamenti premi ed incentivi del DI: nomina della commissione</w:t>
      </w:r>
    </w:p>
    <w:p w14:paraId="1521D072" w14:textId="77777777" w:rsidR="00D647C0" w:rsidRDefault="00000000">
      <w:pPr>
        <w:ind w:left="360"/>
      </w:pPr>
      <w:r>
        <w:t>4)  Selezione progetti e casi per "100+ idee di successo"</w:t>
      </w:r>
    </w:p>
    <w:p w14:paraId="4D46633B" w14:textId="77777777" w:rsidR="00D647C0" w:rsidRDefault="00000000">
      <w:pPr>
        <w:spacing w:after="120"/>
        <w:ind w:left="360"/>
      </w:pPr>
      <w:r>
        <w:t>5)  Varie ed eventuali</w:t>
      </w:r>
    </w:p>
    <w:p w14:paraId="2059A2A8" w14:textId="77777777" w:rsidR="00D647C0" w:rsidRDefault="00000000">
      <w:pPr>
        <w:spacing w:after="80"/>
      </w:pPr>
      <w:r>
        <w:rPr>
          <w:b/>
          <w:bCs/>
        </w:rPr>
        <w:t>Sono presenti:</w:t>
      </w:r>
    </w:p>
    <w:tbl>
      <w:tblPr>
        <w:tblW w:w="9000" w:type="dxa"/>
        <w:tblBorders>
          <w:top w:val="single" w:sz="4" w:space="0" w:color="9DC3E6"/>
          <w:left w:val="single" w:sz="4" w:space="0" w:color="9DC3E6"/>
          <w:bottom w:val="single" w:sz="4" w:space="0" w:color="9DC3E6"/>
          <w:right w:val="single" w:sz="4" w:space="0" w:color="9DC3E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3200"/>
        <w:gridCol w:w="1200"/>
      </w:tblGrid>
      <w:tr w:rsidR="00D647C0" w14:paraId="66DBC12B" w14:textId="77777777">
        <w:trPr>
          <w:tblHeader/>
        </w:trPr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solid" w:color="auto" w:fill="D6E4F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1C0CD" w14:textId="77777777" w:rsidR="00D647C0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solid" w:color="auto" w:fill="D6E4F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E540A" w14:textId="77777777" w:rsidR="00D647C0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Nominativo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solid" w:color="auto" w:fill="D6E4F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AB5C4" w14:textId="77777777" w:rsidR="00D647C0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Presenze</w:t>
            </w:r>
          </w:p>
        </w:tc>
      </w:tr>
      <w:tr w:rsidR="00D647C0" w14:paraId="4387559C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8E8BD4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Delegata alla Ricerca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(Coordinatrice)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970B7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Clelia Dispenza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A0EBE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40C1FCCA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C273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alla Terza Missione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(Vice-Coordinatore)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8AE17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Alessandro Busacca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B64AC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70D93C3A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0BB735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Coordinatrice Gruppo Lavoro per le attività relative all'esercizio di valutazione VQR 2020-2024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066A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Ilenia Tinnirello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04022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13A8BB26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88224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alle Infrastrutture di Ricerca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58FB1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Liborio Cavaleri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F679B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4BA5F626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206DD5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al Dottorato di Ricerca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253B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Gaetano Zizzo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2EE1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257AA618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0F64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del Direttore al supporto alle attività relative ai brevetti ed agli spin-off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5FAC2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Antonio Pantano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1B7F2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39594AD1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29EC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del Direttore al supporto alle attività relative ai contratti ed alle convenzioni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199F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Manfredi Bruccoleri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BC38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giustificato</w:t>
            </w:r>
          </w:p>
        </w:tc>
      </w:tr>
      <w:tr w:rsidR="00D647C0" w14:paraId="241EB8BA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80AE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Delegato del Direttore al supporto alle attività relative al public engagement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E7AEC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Marco Siniscalchi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957E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</w:t>
            </w:r>
          </w:p>
        </w:tc>
      </w:tr>
      <w:tr w:rsidR="00D647C0" w14:paraId="79551F67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A16FB1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CABIM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6B50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Rosalinda Inguanta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B1A85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4248F483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2B05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CABIM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5136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Giorgio Mannina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5A5DC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</w:t>
            </w:r>
          </w:p>
        </w:tc>
      </w:tr>
      <w:tr w:rsidR="00D647C0" w14:paraId="3A72B21D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D92EB8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Info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1F64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Liliana Lo Presti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0D1F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50F07FBE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7D8C7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EFM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426C1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Isodiana Crupi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3F998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giustificata</w:t>
            </w:r>
          </w:p>
        </w:tc>
      </w:tr>
      <w:tr w:rsidR="00D647C0" w14:paraId="4846750C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61775D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Rappresentante Sezione Elettrica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2CEE5E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Prof.ssa Valentina Cosentino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C18636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giustificata</w:t>
            </w:r>
          </w:p>
        </w:tc>
      </w:tr>
      <w:tr w:rsidR="00D647C0" w14:paraId="05A8655F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5266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E3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E02A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Antonio Piacentino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D76E2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3648B370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459347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M3A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FD34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Giuseppe Pitarresi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C80A88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7F9FD83A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1893B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Sezione S&amp;I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7F75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Prof. Piero Colajanni (sostituisce Prof.ssa Anna Granà)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08F4A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6F87E7F3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7369C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U.O. Ricerca e Terza Missione – Progetti Nazionali, Europei, Internazionali e contratti a personale su fondi di ricerca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36DD29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Dott. Mario Dominici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CF233E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032E269E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A3AB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U.O. Ricerca e Terza Missione – Progetti regionali e transfrontalieri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BEF87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Dott.ssa Valeria Cataldo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0CE7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Presente</w:t>
            </w:r>
          </w:p>
        </w:tc>
      </w:tr>
      <w:tr w:rsidR="00D647C0" w14:paraId="3D9CC873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8C3E76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U.O. Ricerca e Terza Missione – Contratti e Convenzioni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4FE26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Dott.ssa Denise Giammona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D6DB03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giustificata</w:t>
            </w:r>
          </w:p>
        </w:tc>
      </w:tr>
      <w:tr w:rsidR="00D647C0" w14:paraId="1345E211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2ACC2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Responsabile U.O. Laboratori scientifici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6A652B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Sig. Antonino Lorello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80288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giustificato</w:t>
            </w:r>
          </w:p>
        </w:tc>
      </w:tr>
      <w:tr w:rsidR="00D647C0" w14:paraId="10A9618B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E64AA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Dottorandi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68BA55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Ing. Dario De Caro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10A00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Assente giustificato</w:t>
            </w:r>
          </w:p>
        </w:tc>
      </w:tr>
      <w:tr w:rsidR="00D647C0" w14:paraId="635E9FC8" w14:textId="77777777">
        <w:tc>
          <w:tcPr>
            <w:tcW w:w="4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0FC62C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Rappresentante Assegnisti di Ricerca</w:t>
            </w:r>
          </w:p>
        </w:tc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32540F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FA7A1" w14:textId="77777777" w:rsidR="00D647C0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–</w:t>
            </w:r>
          </w:p>
        </w:tc>
      </w:tr>
    </w:tbl>
    <w:p w14:paraId="4024A2C2" w14:textId="77777777" w:rsidR="00D647C0" w:rsidRDefault="00D647C0"/>
    <w:p w14:paraId="5884C3EB" w14:textId="77777777" w:rsidR="00D647C0" w:rsidRDefault="00000000">
      <w:pPr>
        <w:pBdr>
          <w:bottom w:val="single" w:sz="4" w:space="4" w:color="CCCCCC"/>
        </w:pBdr>
        <w:spacing w:before="160" w:after="60"/>
      </w:pPr>
      <w:r>
        <w:rPr>
          <w:b/>
          <w:bCs/>
        </w:rPr>
        <w:t>1)  Comunicazioni</w:t>
      </w:r>
    </w:p>
    <w:p w14:paraId="785CE73C" w14:textId="77777777" w:rsidR="00D647C0" w:rsidRDefault="00000000">
      <w:pPr>
        <w:spacing w:after="120"/>
      </w:pPr>
      <w:r>
        <w:t>Non ci sono comunicazioni da parte della Prof.ssa Dispenza.</w:t>
      </w:r>
    </w:p>
    <w:p w14:paraId="1F1FD2F9" w14:textId="77777777" w:rsidR="00D647C0" w:rsidRDefault="00000000">
      <w:pPr>
        <w:pBdr>
          <w:bottom w:val="single" w:sz="4" w:space="4" w:color="CCCCCC"/>
        </w:pBdr>
        <w:spacing w:before="160" w:after="60"/>
      </w:pPr>
      <w:r>
        <w:rPr>
          <w:b/>
          <w:bCs/>
        </w:rPr>
        <w:t>2)  Esiti visita CEV (AVA3)</w:t>
      </w:r>
    </w:p>
    <w:p w14:paraId="22ED5CC5" w14:textId="77777777" w:rsidR="00D647C0" w:rsidRDefault="00000000">
      <w:pPr>
        <w:spacing w:after="120"/>
      </w:pPr>
      <w:r>
        <w:t>La Prof.ssa Di Lorenzo e la Prof.ssa Dispenza informano le Commissioni AQDD e AQRTM circa gli esiti della visita CEV in relazione all'accreditamento (AVA3).</w:t>
      </w:r>
    </w:p>
    <w:p w14:paraId="070CC1E5" w14:textId="77777777" w:rsidR="00D647C0" w:rsidRDefault="00000000">
      <w:pPr>
        <w:spacing w:after="120"/>
      </w:pPr>
      <w:r>
        <w:t>Si procede, nel dettaglio, alla disamina delle raccomandazioni ricevute dal Dipartimento sui 4 punti di attenzione analizzati (E.DIP da 1 a 4) e si condividono le eventuali controdeduzioni elaborate dalla Commissione AVA3.</w:t>
      </w:r>
    </w:p>
    <w:p w14:paraId="0F7716E1" w14:textId="77777777" w:rsidR="00D647C0" w:rsidRDefault="00000000">
      <w:pPr>
        <w:spacing w:after="120"/>
      </w:pPr>
      <w:r>
        <w:t xml:space="preserve">Per ciò che concerne il primo aspetto </w:t>
      </w:r>
      <w:r>
        <w:rPr>
          <w:b/>
          <w:bCs/>
        </w:rPr>
        <w:t>E.DIP.1</w:t>
      </w:r>
      <w:r>
        <w:t xml:space="preserve">, per cui la fascia di valutazione è </w:t>
      </w:r>
      <w:r>
        <w:rPr>
          <w:b/>
          <w:bCs/>
        </w:rPr>
        <w:t>"Soddisfacente"</w:t>
      </w:r>
      <w:r>
        <w:t>, viene posta una raccomandazione relativa all'integrazione nel Piano Strategico Dipartimentale alla luce delle criticità evidenziate nel Rapporto di Riesame del Sistema di Governo Dipartimentale, al fine di rendere pienamente trasparente e completo il quadro di analisi strategica e supportare azioni correttive mirate.</w:t>
      </w:r>
    </w:p>
    <w:p w14:paraId="66B5816A" w14:textId="77777777" w:rsidR="00D647C0" w:rsidRDefault="00000000">
      <w:pPr>
        <w:spacing w:after="120"/>
      </w:pPr>
      <w:r>
        <w:t xml:space="preserve">In replica alla raccomandazione si propone di fare osservare ai CEV che il Piano strategico dipartimentale 2024-2027 è stato aggiornato a valle del Rapporto di Riesame 2024 e allegato fra i documenti chiave del punto di attenzione E.DIP.2 ([4C_E.DIP.2.4] – Piano Strategico 2024-2027 "to be", con la descrizione: Il </w:t>
      </w:r>
      <w:r>
        <w:lastRenderedPageBreak/>
        <w:t>documento contiene il piano strategico di dipartimento aggiornato a valle delle risultanze del rapporto di riesame).</w:t>
      </w:r>
    </w:p>
    <w:p w14:paraId="5C32AAE1" w14:textId="77777777" w:rsidR="00D647C0" w:rsidRDefault="00000000">
      <w:pPr>
        <w:spacing w:after="120"/>
      </w:pPr>
      <w:r>
        <w:t>Con riguardo all'</w:t>
      </w:r>
      <w:r>
        <w:rPr>
          <w:b/>
          <w:bCs/>
        </w:rPr>
        <w:t>E.DIP.2</w:t>
      </w:r>
      <w:r>
        <w:t xml:space="preserve">, per cui la fascia di valutazione è </w:t>
      </w:r>
      <w:r>
        <w:rPr>
          <w:b/>
          <w:bCs/>
        </w:rPr>
        <w:t>Pienamente Soddisfacente</w:t>
      </w:r>
      <w:r>
        <w:t>, i CEV evidenziano una buona prassi relativa all'adozione di un sistema coordinato di gestione e monitoraggio delle attività di didattica, ricerca e terza missione/impatto sociale. Le interazioni con il PQA sono chiaramente calendarizzate ed il Direttore incontra settimanalmente i responsabili delle Unità Operative di primo, secondo e terzo livello per favorire comunicazione, aggiornamento periodico e coordinamento tra i diversi ambiti. A supporto di queste attività, l'Ateneo mette a disposizione strumenti digitali che consentono l'accesso e l'analisi di dati qualitativi e quantitativi, migliorando l'efficacia dei processi di Assicurazione della Qualità e la tracciabilità dei risultati.</w:t>
      </w:r>
    </w:p>
    <w:p w14:paraId="1ED25EBE" w14:textId="77777777" w:rsidR="00D647C0" w:rsidRDefault="00000000">
      <w:pPr>
        <w:spacing w:after="120"/>
      </w:pPr>
      <w:r>
        <w:t>Con riguardo all'</w:t>
      </w:r>
      <w:r>
        <w:rPr>
          <w:b/>
          <w:bCs/>
        </w:rPr>
        <w:t>E.DIP.3</w:t>
      </w:r>
      <w:r>
        <w:t xml:space="preserve">, per il quale la valutazione è </w:t>
      </w:r>
      <w:r>
        <w:rPr>
          <w:b/>
          <w:bCs/>
        </w:rPr>
        <w:t>parzialmente soddisfacente</w:t>
      </w:r>
      <w:r>
        <w:t>, la raccomandazione ricevuta prescrive di chiarire e formalizzare il flusso documentale dei lavori del Consiglio Scientifico, rendendo accessibili e tracciabili le deliberazioni e i resoconti, e di definire un processo valutativo chiaro e condiviso per l'assegnazione del Premio "Best Paper" e del "Bando per Progetti di Ricerca", con criteri trasparenti e indicatori predefiniti. Si raccomanda di definire e rendere pubblicamente accessibile una modalità interna chiara e trasparente per la distribuzione delle risorse destinate al cofinanziamento di acquisti e riparazioni di attrezzature per i laboratori di ricerca e didattici. Si sottolinea come i resoconti delle sedute del Consiglio Scientifico siano adesso puntualmente stilati e pubblicati. In merito ai bandi si decide di revisionarli alla luce delle osservazioni dei CEV.</w:t>
      </w:r>
    </w:p>
    <w:p w14:paraId="0789732C" w14:textId="77777777" w:rsidR="00D647C0" w:rsidRDefault="00000000">
      <w:pPr>
        <w:spacing w:after="120"/>
      </w:pPr>
      <w:r>
        <w:t>Infine, con riferimento all'</w:t>
      </w:r>
      <w:r>
        <w:rPr>
          <w:b/>
          <w:bCs/>
        </w:rPr>
        <w:t>E.DIP.4</w:t>
      </w:r>
      <w:r>
        <w:t>, per il quale il Dipartimento raggiunge "soddisfacente" come fascia di valutazione, si sottolinea come lo stesso abbia ricevuto una segnalazione di buona prassi relativa all'approccio partecipativo e strutturato nella gestione e nello sviluppo del personale TA. Al contempo, è stata ricevuta una raccomandazione relativa alla fruizione dei laboratori didattici da parte degli studenti, che dovrebbe essere resa più agevole ed ampliata in termini di partecipazione e di dotazione strumentale.</w:t>
      </w:r>
    </w:p>
    <w:p w14:paraId="3F1411C9" w14:textId="77777777" w:rsidR="00D647C0" w:rsidRDefault="00000000">
      <w:pPr>
        <w:spacing w:after="120"/>
      </w:pPr>
      <w:r>
        <w:t xml:space="preserve">Vengono infine illustrati gli andamenti degli indicatori di terza missione valutati direttamente dall'ANVUR (non attraverso la CEV). Su questo punto la valutazione è stata </w:t>
      </w:r>
      <w:r>
        <w:rPr>
          <w:b/>
          <w:bCs/>
        </w:rPr>
        <w:t>"non soddisfacente"</w:t>
      </w:r>
      <w:r>
        <w:t xml:space="preserve">. Si fa osservare, per l'indicatore </w:t>
      </w:r>
      <w:r>
        <w:rPr>
          <w:i/>
          <w:iCs/>
        </w:rPr>
        <w:t>I.0.0.A – Proventi per docente (ricerche, trasf. tecn. e finanz. competitivi)</w:t>
      </w:r>
      <w:r>
        <w:t xml:space="preserve">, che il dato del 2022 indicato nella Relazione preliminare era errato (pari ad un decimo del valore reale) ed è ora stato corretto nella piattaforma indicatori ANVUR, in cui è altresì adesso disponibile anche il valore del 2024 che risultava mancante. A fronte della correzione del dato 2022 e del caricamento del dato 2024, ne risulta un andamento nei quattro anni del tutto in linea con quello della macroregione. Inoltre, l'indicatore </w:t>
      </w:r>
      <w:r>
        <w:rPr>
          <w:i/>
          <w:iCs/>
        </w:rPr>
        <w:t>I.0.0.C – N° attività terza missione sui docenti</w:t>
      </w:r>
      <w:r>
        <w:t xml:space="preserve"> presenta una marcata tendenza positiva con valore al 2024 superiore anche alla media nazionale.</w:t>
      </w:r>
    </w:p>
    <w:p w14:paraId="7FFB2BB3" w14:textId="77777777" w:rsidR="00D647C0" w:rsidRDefault="00000000">
      <w:pPr>
        <w:spacing w:after="120"/>
      </w:pPr>
      <w:r>
        <w:t>In conclusione, dalla disamina degli esiti della relazione della CEV e dalla discussione che ne è derivata in seno alle due commissioni, si sottolinea una performance complessivamente soddisfacente del Dipartimento che, attraverso il gruppo di lavoro AVA3, predisporrà due controdeduzioni, sull'E.DIP 1 e sugli indicatori.</w:t>
      </w:r>
    </w:p>
    <w:p w14:paraId="61C87081" w14:textId="77777777" w:rsidR="00D647C0" w:rsidRDefault="00000000">
      <w:pPr>
        <w:pBdr>
          <w:bottom w:val="single" w:sz="4" w:space="4" w:color="CCCCCC"/>
        </w:pBdr>
        <w:spacing w:before="160" w:after="60"/>
      </w:pPr>
      <w:r>
        <w:rPr>
          <w:b/>
          <w:bCs/>
        </w:rPr>
        <w:t>3)  Revisione dei regolamenti premi ed incentivi del DI: nomina della commissione</w:t>
      </w:r>
    </w:p>
    <w:p w14:paraId="6190F614" w14:textId="77777777" w:rsidR="00D647C0" w:rsidRDefault="00000000">
      <w:pPr>
        <w:spacing w:after="120"/>
      </w:pPr>
      <w:r>
        <w:t xml:space="preserve">I Professori </w:t>
      </w:r>
      <w:r>
        <w:rPr>
          <w:b/>
          <w:bCs/>
        </w:rPr>
        <w:t>Gaetano Zizzo</w:t>
      </w:r>
      <w:r>
        <w:t xml:space="preserve">, </w:t>
      </w:r>
      <w:r>
        <w:rPr>
          <w:b/>
          <w:bCs/>
        </w:rPr>
        <w:t>Rosalinda Inguanta</w:t>
      </w:r>
      <w:r>
        <w:t xml:space="preserve"> e </w:t>
      </w:r>
      <w:r>
        <w:rPr>
          <w:b/>
          <w:bCs/>
        </w:rPr>
        <w:t>Liliana Lo Presti</w:t>
      </w:r>
      <w:r>
        <w:t xml:space="preserve"> si rendono disponibili per elaborare una proposta di emendamento dei regolamenti "premi ed incentivi" da sottoporre alla Commissione AQ Ricerca e Terza Missione, alla luce delle osservazioni della CEV.</w:t>
      </w:r>
    </w:p>
    <w:p w14:paraId="113D48B7" w14:textId="77777777" w:rsidR="00D647C0" w:rsidRDefault="00000000">
      <w:pPr>
        <w:pBdr>
          <w:bottom w:val="single" w:sz="4" w:space="4" w:color="CCCCCC"/>
        </w:pBdr>
        <w:spacing w:before="160" w:after="60"/>
      </w:pPr>
      <w:r>
        <w:rPr>
          <w:b/>
          <w:bCs/>
        </w:rPr>
        <w:lastRenderedPageBreak/>
        <w:t>4)  Selezione progetti e casi per "100+ idee di successo"</w:t>
      </w:r>
    </w:p>
    <w:p w14:paraId="771B5A16" w14:textId="77777777" w:rsidR="00D647C0" w:rsidRDefault="00000000">
      <w:pPr>
        <w:spacing w:after="120"/>
      </w:pPr>
      <w:r>
        <w:t>La Prof.ssa Dispenza ricorda ai presenti che mercoledì 11 febbraio 2026 ella ha inviato a tutti i componenti del Dipartimento una email informativa in merito alla richiesta da parte del Magnifico Rettore di segnalare casi e progetti di ricerca da includere in un volume divulgativo dedicato alle attività scientifiche svolte nel nostro Ateneo. Ciascun Dipartimento potrà presentare un massimo di cinque casi/progetti ritenuti maggiormente significativi.</w:t>
      </w:r>
    </w:p>
    <w:p w14:paraId="6F5BF460" w14:textId="77777777" w:rsidR="00D647C0" w:rsidRDefault="00000000">
      <w:pPr>
        <w:spacing w:after="120"/>
      </w:pPr>
      <w:r>
        <w:t xml:space="preserve">Risultano pervenute un totale di 9 schede, alcune delle quali inviate oltre la scadenza interna dell'8/03/2026 a causa di un sovraccarico della casella di posta </w:t>
      </w:r>
      <w:r>
        <w:rPr>
          <w:i/>
          <w:iCs/>
        </w:rPr>
        <w:t>ricerca.ingegneria@unipa.it</w:t>
      </w:r>
      <w:r>
        <w:t>. Dopo discussione, si decide di riaprire i termini della raccolta interna fino alle ore 24:00 del 10/03/2026. Tutte le schede pervenute saranno esaminate dai componenti della Commissione AQ R&amp;TM sulla base di una valutazione personale dell'impatto accademico, tecnologico e sociale. La graduatoria complessiva consentirà di individuare le cinque proposte. Si conviene che la ricognizione effettuata sarà in ogni caso utile anche per future iniziative di promozione della ricerca dipartimentale.</w:t>
      </w:r>
    </w:p>
    <w:p w14:paraId="35BB06C7" w14:textId="77777777" w:rsidR="00D647C0" w:rsidRDefault="00000000">
      <w:pPr>
        <w:pBdr>
          <w:bottom w:val="single" w:sz="4" w:space="4" w:color="CCCCCC"/>
        </w:pBdr>
        <w:spacing w:before="160" w:after="60"/>
      </w:pPr>
      <w:r>
        <w:rPr>
          <w:b/>
          <w:bCs/>
        </w:rPr>
        <w:t>5)  Varie ed eventuali</w:t>
      </w:r>
    </w:p>
    <w:p w14:paraId="62FFDC87" w14:textId="77777777" w:rsidR="00D647C0" w:rsidRDefault="00000000">
      <w:pPr>
        <w:spacing w:after="120"/>
      </w:pPr>
      <w:r>
        <w:t>Non ci sono varie ed eventuali.</w:t>
      </w:r>
    </w:p>
    <w:p w14:paraId="0CBC17E3" w14:textId="77777777" w:rsidR="00D647C0" w:rsidRDefault="00D647C0"/>
    <w:p w14:paraId="26ED2812" w14:textId="77777777" w:rsidR="00D647C0" w:rsidRDefault="00000000">
      <w:pPr>
        <w:pBdr>
          <w:top w:val="single" w:sz="6" w:space="8" w:color="1F3864"/>
        </w:pBdr>
        <w:spacing w:before="160"/>
      </w:pPr>
      <w:r>
        <w:rPr>
          <w:b/>
          <w:bCs/>
        </w:rPr>
        <w:t>La seduta si dichiara conclusa alle ore 17:30.</w:t>
      </w:r>
    </w:p>
    <w:sectPr w:rsidR="00D647C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0F2B1C" w14:textId="77777777" w:rsidR="00FE28DE" w:rsidRDefault="00FE28DE">
      <w:pPr>
        <w:spacing w:line="240" w:lineRule="auto"/>
      </w:pPr>
      <w:r>
        <w:separator/>
      </w:r>
    </w:p>
  </w:endnote>
  <w:endnote w:type="continuationSeparator" w:id="0">
    <w:p w14:paraId="5254C53D" w14:textId="77777777" w:rsidR="00FE28DE" w:rsidRDefault="00FE2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F8B6E" w14:textId="77777777" w:rsidR="00D647C0" w:rsidRDefault="00000000">
    <w:pPr>
      <w:pBdr>
        <w:top w:val="single" w:sz="4" w:space="4" w:color="CCCCCC"/>
      </w:pBdr>
      <w:jc w:val="right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52A3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A300D1" w14:textId="77777777" w:rsidR="00FE28DE" w:rsidRDefault="00FE28DE">
      <w:pPr>
        <w:spacing w:line="240" w:lineRule="auto"/>
      </w:pPr>
      <w:r>
        <w:separator/>
      </w:r>
    </w:p>
  </w:footnote>
  <w:footnote w:type="continuationSeparator" w:id="0">
    <w:p w14:paraId="7E2BAB8C" w14:textId="77777777" w:rsidR="00FE28DE" w:rsidRDefault="00FE28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28B56" w14:textId="7B7F8C25" w:rsidR="00D647C0" w:rsidRPr="006540DF" w:rsidRDefault="006540DF" w:rsidP="006540DF">
    <w:pPr>
      <w:pStyle w:val="Header"/>
    </w:pPr>
    <w:r>
      <w:rPr>
        <w:noProof/>
      </w:rPr>
      <w:drawing>
        <wp:inline distT="0" distB="0" distL="0" distR="0" wp14:anchorId="67306252" wp14:editId="3D7D398A">
          <wp:extent cx="6120130" cy="860110"/>
          <wp:effectExtent l="0" t="0" r="1270" b="0"/>
          <wp:docPr id="200930790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A14044"/>
    <w:multiLevelType w:val="hybridMultilevel"/>
    <w:tmpl w:val="51F6A1C8"/>
    <w:lvl w:ilvl="0" w:tplc="12AC9260">
      <w:start w:val="1"/>
      <w:numFmt w:val="bullet"/>
      <w:lvlText w:val="●"/>
      <w:lvlJc w:val="left"/>
      <w:pPr>
        <w:ind w:left="720" w:hanging="360"/>
      </w:pPr>
    </w:lvl>
    <w:lvl w:ilvl="1" w:tplc="EACC4E2E">
      <w:start w:val="1"/>
      <w:numFmt w:val="bullet"/>
      <w:lvlText w:val="○"/>
      <w:lvlJc w:val="left"/>
      <w:pPr>
        <w:ind w:left="1440" w:hanging="360"/>
      </w:pPr>
    </w:lvl>
    <w:lvl w:ilvl="2" w:tplc="92E28486">
      <w:start w:val="1"/>
      <w:numFmt w:val="bullet"/>
      <w:lvlText w:val="■"/>
      <w:lvlJc w:val="left"/>
      <w:pPr>
        <w:ind w:left="2160" w:hanging="360"/>
      </w:pPr>
    </w:lvl>
    <w:lvl w:ilvl="3" w:tplc="77F8EEDC">
      <w:start w:val="1"/>
      <w:numFmt w:val="bullet"/>
      <w:lvlText w:val="●"/>
      <w:lvlJc w:val="left"/>
      <w:pPr>
        <w:ind w:left="2880" w:hanging="360"/>
      </w:pPr>
    </w:lvl>
    <w:lvl w:ilvl="4" w:tplc="260E609C">
      <w:start w:val="1"/>
      <w:numFmt w:val="bullet"/>
      <w:lvlText w:val="○"/>
      <w:lvlJc w:val="left"/>
      <w:pPr>
        <w:ind w:left="3600" w:hanging="360"/>
      </w:pPr>
    </w:lvl>
    <w:lvl w:ilvl="5" w:tplc="A7222E08">
      <w:start w:val="1"/>
      <w:numFmt w:val="bullet"/>
      <w:lvlText w:val="■"/>
      <w:lvlJc w:val="left"/>
      <w:pPr>
        <w:ind w:left="4320" w:hanging="360"/>
      </w:pPr>
    </w:lvl>
    <w:lvl w:ilvl="6" w:tplc="506A6634">
      <w:start w:val="1"/>
      <w:numFmt w:val="bullet"/>
      <w:lvlText w:val="●"/>
      <w:lvlJc w:val="left"/>
      <w:pPr>
        <w:ind w:left="5040" w:hanging="360"/>
      </w:pPr>
    </w:lvl>
    <w:lvl w:ilvl="7" w:tplc="54A2649E">
      <w:start w:val="1"/>
      <w:numFmt w:val="bullet"/>
      <w:lvlText w:val="●"/>
      <w:lvlJc w:val="left"/>
      <w:pPr>
        <w:ind w:left="5760" w:hanging="360"/>
      </w:pPr>
    </w:lvl>
    <w:lvl w:ilvl="8" w:tplc="5BD4589E">
      <w:start w:val="1"/>
      <w:numFmt w:val="bullet"/>
      <w:lvlText w:val="●"/>
      <w:lvlJc w:val="left"/>
      <w:pPr>
        <w:ind w:left="6480" w:hanging="360"/>
      </w:pPr>
    </w:lvl>
  </w:abstractNum>
  <w:num w:numId="1" w16cid:durableId="2997702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C0"/>
    <w:rsid w:val="003278E0"/>
    <w:rsid w:val="00352A36"/>
    <w:rsid w:val="005920AF"/>
    <w:rsid w:val="006540DF"/>
    <w:rsid w:val="00D647C0"/>
    <w:rsid w:val="00E528BF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21E808"/>
  <w15:docId w15:val="{D4C9DB39-D513-4543-9A6A-F4F1806D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40D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0DF"/>
  </w:style>
  <w:style w:type="paragraph" w:styleId="Footer">
    <w:name w:val="footer"/>
    <w:basedOn w:val="Normal"/>
    <w:link w:val="FooterChar"/>
    <w:uiPriority w:val="99"/>
    <w:unhideWhenUsed/>
    <w:rsid w:val="006540D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1350</Words>
  <Characters>7698</Characters>
  <Application>Microsoft Office Word</Application>
  <DocSecurity>0</DocSecurity>
  <Lines>64</Lines>
  <Paragraphs>18</Paragraphs>
  <ScaleCrop>false</ScaleCrop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CLELIA DISPENZA</cp:lastModifiedBy>
  <cp:revision>4</cp:revision>
  <dcterms:created xsi:type="dcterms:W3CDTF">2026-09-08T14:16:00Z</dcterms:created>
  <dcterms:modified xsi:type="dcterms:W3CDTF">2026-09-08T14:38:00Z</dcterms:modified>
</cp:coreProperties>
</file>