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277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42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Attivit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di Public Engagement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Attivit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senza scopo di lucro con valore educativo, culturale e di sviluppo della societ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à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, rivolte al pubblico</w:t>
            </w:r>
          </w:p>
        </w:tc>
      </w:tr>
    </w:tbl>
    <w:p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Docente Responsabile scientifico</w:t>
            </w:r>
          </w:p>
        </w:tc>
      </w:tr>
      <w:tr>
        <w:tblPrEx>
          <w:shd w:val="clear" w:color="auto" w:fill="d0ddef"/>
        </w:tblPrEx>
        <w:trPr>
          <w:trHeight w:val="7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Nome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40"/>
                <w:szCs w:val="40"/>
                <w:rtl w:val="0"/>
                <w:lang w:val="it-IT"/>
              </w:rPr>
              <w:t>Tiziana Di Salvo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FIS/05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Eventuali Docenti partecipanti</w:t>
            </w:r>
          </w:p>
        </w:tc>
      </w:tr>
      <w:tr>
        <w:tblPrEx>
          <w:shd w:val="clear" w:color="auto" w:fill="d0ddef"/>
        </w:tblPrEx>
        <w:trPr>
          <w:trHeight w:val="12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Nomi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SSD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1)</w:t>
            </w:r>
            <w:r>
              <w:rPr>
                <w:sz w:val="28"/>
                <w:szCs w:val="28"/>
                <w:rtl w:val="0"/>
                <w:lang w:val="it-IT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  <w:rtl w:val="0"/>
              </w:rPr>
            </w:pPr>
            <w:r>
              <w:rPr>
                <w:sz w:val="28"/>
                <w:szCs w:val="28"/>
                <w:rtl w:val="0"/>
                <w:lang w:val="it-IT"/>
              </w:rPr>
              <w:t>2)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sz w:val="28"/>
                <w:szCs w:val="28"/>
                <w:rtl w:val="0"/>
                <w:lang w:val="it-IT"/>
              </w:rPr>
              <w:t>…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Data di svolgimento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dal gg/mm/aaaa    al gg/mm/aaaa    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16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05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 al 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16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05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__/_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2019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__  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Titolo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Seminario: La prima foto di un buco nero</w:t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Obiettivi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Divulgazione Scientifica</w:t>
            </w:r>
          </w:p>
        </w:tc>
      </w:tr>
      <w:tr>
        <w:tblPrEx>
          <w:shd w:val="clear" w:color="auto" w:fill="d0ddef"/>
        </w:tblPrEx>
        <w:trPr>
          <w:trHeight w:val="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Soggetti coinvolti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Altri Dipartimenti, Enti Pubblici o privati, Istituzioni, Associazioni etc. partner dell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’</w:t>
            </w: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iniziativa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 xml:space="preserve">DiFC, INAF, Associazione Studentesca 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“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Vivere Scienze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”</w:t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Destinatari dell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Fruitori del bene pubblico prodotto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Studenti o pubblico interessato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71"/>
        <w:gridCol w:w="13006"/>
      </w:tblGrid>
      <w:tr>
        <w:tblPrEx>
          <w:shd w:val="clear" w:color="auto" w:fill="d0ddef"/>
        </w:tblPrEx>
        <w:trPr>
          <w:trHeight w:val="795" w:hRule="atLeast"/>
        </w:trPr>
        <w:tc>
          <w:tcPr>
            <w:tcW w:type="dxa" w:w="14277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Categoria o categorie in cui rientra l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’</w:t>
            </w: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iniziativa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Sono possibili risposte multiple: selezionare la/le voci con una 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“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X</w:t>
            </w: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 xml:space="preserve">” 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divulgative firmate dallo staff docente a livello nazionale o internazionale;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pubblicazioni (cartacee e digitali) dedicate al pubblico esterno (ad es. magazine dell</w:t>
            </w:r>
            <w:r>
              <w:rPr>
                <w:sz w:val="24"/>
                <w:szCs w:val="24"/>
                <w:rtl w:val="0"/>
                <w:lang w:val="it-IT"/>
              </w:rPr>
              <w:t>’</w:t>
            </w:r>
            <w:r>
              <w:rPr>
                <w:sz w:val="24"/>
                <w:szCs w:val="24"/>
                <w:rtl w:val="0"/>
                <w:lang w:val="it-IT"/>
              </w:rPr>
              <w:t>universit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partecipazioni dello staff docente a trasmissioni radiotelevisive a livello nazionale o internazionale;</w:t>
            </w:r>
          </w:p>
        </w:tc>
      </w:tr>
      <w:tr>
        <w:tblPrEx>
          <w:shd w:val="clear" w:color="auto" w:fill="d0ddef"/>
        </w:tblPrEx>
        <w:trPr>
          <w:trHeight w:val="57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partecipazioni attive a incontri pubblici organizzati da altri soggetti (es. caff</w:t>
            </w:r>
            <w:r>
              <w:rPr>
                <w:sz w:val="24"/>
                <w:szCs w:val="24"/>
                <w:rtl w:val="0"/>
                <w:lang w:val="it-IT"/>
              </w:rPr>
              <w:t xml:space="preserve">è </w:t>
            </w:r>
            <w:r>
              <w:rPr>
                <w:sz w:val="24"/>
                <w:szCs w:val="24"/>
                <w:rtl w:val="0"/>
                <w:lang w:val="it-IT"/>
              </w:rPr>
              <w:t>scientifici, festival, fiere scientifiche, ecc.);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partecipazione alla formulazione di programmi di pubblico interesse (policy-making);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partecipazione a comitati per la definizione di standard e norme tecniche;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eventi pubblici (es. Notte dei Ricercatori, open day);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organizzazione di concerti, mostre, esposizioni e altri eventi di pubblica utilit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aperti alla comunit</w:t>
            </w:r>
            <w:r>
              <w:rPr>
                <w:sz w:val="24"/>
                <w:szCs w:val="24"/>
                <w:rtl w:val="0"/>
                <w:lang w:val="it-IT"/>
              </w:rPr>
              <w:t>à</w:t>
            </w:r>
            <w:r>
              <w:rPr>
                <w:sz w:val="24"/>
                <w:szCs w:val="24"/>
                <w:rtl w:val="0"/>
                <w:lang w:val="it-IT"/>
              </w:rPr>
              <w:t>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tutela della salute (es. giornate informative e di prevenzione);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in collaborazione con enti per progetti di sviluppo urbano o valorizzazione del territorio;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orientamento e interazione con le scuole superiori;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x</w:t>
            </w:r>
          </w:p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divulgative rivolte a bambini e giovani;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iniziative di democrazia partecipativa (es. consensus conferences, citizen panel);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giornate organizzate di formazione alla comunicazione (rivolta a PTA o docenti);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siti web interattivi e/o divulgativi, blog;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jc w:val="both"/>
            </w:pPr>
            <w:r>
              <w:rPr>
                <w:sz w:val="24"/>
                <w:szCs w:val="24"/>
                <w:rtl w:val="0"/>
                <w:lang w:val="it-IT"/>
              </w:rPr>
              <w:t>fruizione da parte della comunit</w:t>
            </w:r>
            <w:r>
              <w:rPr>
                <w:sz w:val="24"/>
                <w:szCs w:val="24"/>
                <w:rtl w:val="0"/>
                <w:lang w:val="it-IT"/>
              </w:rPr>
              <w:t xml:space="preserve">à </w:t>
            </w:r>
            <w:r>
              <w:rPr>
                <w:sz w:val="24"/>
                <w:szCs w:val="24"/>
                <w:rtl w:val="0"/>
                <w:lang w:val="it-IT"/>
              </w:rPr>
              <w:t>di musei, ospedali, impianti sportivi, biblioteche, teatri, edifici storici universitari;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12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</w:pPr>
            <w:r>
              <w:rPr>
                <w:sz w:val="24"/>
                <w:szCs w:val="24"/>
                <w:rtl w:val="0"/>
                <w:lang w:val="it-IT"/>
              </w:rPr>
              <w:t>altro: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tbl>
      <w:tblPr>
        <w:tblW w:w="14277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7138"/>
        <w:gridCol w:w="7139"/>
      </w:tblGrid>
      <w:tr>
        <w:tblPrEx>
          <w:shd w:val="clear" w:color="auto" w:fill="d0ddef"/>
        </w:tblPrEx>
        <w:trPr>
          <w:trHeight w:val="289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  <w:lang w:val="it-IT"/>
              </w:rPr>
            </w:pP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b w:val="1"/>
                <w:bCs w:val="1"/>
                <w:sz w:val="28"/>
                <w:szCs w:val="28"/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 xml:space="preserve">Breve descrizione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>(</w:t>
            </w:r>
            <w:r>
              <w:rPr>
                <w:rFonts w:ascii="Calibri" w:cs="Calibri" w:hAnsi="Calibri" w:eastAsia="Calibri"/>
                <w:i w:val="1"/>
                <w:iCs w:val="1"/>
                <w:sz w:val="24"/>
                <w:szCs w:val="24"/>
                <w:rtl w:val="0"/>
                <w:lang w:val="it-IT"/>
              </w:rPr>
              <w:t>500 battute max</w:t>
            </w:r>
            <w:r>
              <w:rPr>
                <w:sz w:val="24"/>
                <w:szCs w:val="24"/>
                <w:rtl w:val="0"/>
                <w:lang w:val="it-IT"/>
              </w:rPr>
              <w:t>)</w:t>
            </w:r>
            <w:r>
              <w:rPr>
                <w:sz w:val="24"/>
                <w:szCs w:val="24"/>
              </w:rPr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sz w:val="28"/>
                <w:szCs w:val="28"/>
                <w:rtl w:val="0"/>
                <w:lang w:val="it-IT"/>
              </w:rPr>
              <w:t>Due s</w:t>
            </w:r>
            <w:r>
              <w:rPr>
                <w:sz w:val="28"/>
                <w:szCs w:val="28"/>
                <w:rtl w:val="0"/>
                <w:lang w:val="it-IT"/>
              </w:rPr>
              <w:t>eminari divulgativi, il primo sulla Relativit</w:t>
            </w:r>
            <w:r>
              <w:rPr>
                <w:sz w:val="28"/>
                <w:szCs w:val="28"/>
                <w:rtl w:val="0"/>
                <w:lang w:val="it-IT"/>
              </w:rPr>
              <w:t xml:space="preserve">à </w:t>
            </w:r>
            <w:r>
              <w:rPr>
                <w:sz w:val="28"/>
                <w:szCs w:val="28"/>
                <w:rtl w:val="0"/>
                <w:lang w:val="it-IT"/>
              </w:rPr>
              <w:t xml:space="preserve">Generale </w:t>
            </w: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stato presentato dal Prof. Peres e il secondo sull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>Astrofisica dei Buchi Neri dalla Prof. Tiziana Di Salvo. Gli studenti dell</w:t>
            </w:r>
            <w:r>
              <w:rPr>
                <w:sz w:val="28"/>
                <w:szCs w:val="28"/>
                <w:rtl w:val="0"/>
                <w:lang w:val="it-IT"/>
              </w:rPr>
              <w:t>’</w:t>
            </w:r>
            <w:r>
              <w:rPr>
                <w:sz w:val="28"/>
                <w:szCs w:val="28"/>
                <w:rtl w:val="0"/>
                <w:lang w:val="it-IT"/>
              </w:rPr>
              <w:t xml:space="preserve">associazione Vivere Scienze hanno registrato un video dei due seminari che </w:t>
            </w:r>
            <w:r>
              <w:rPr>
                <w:sz w:val="28"/>
                <w:szCs w:val="28"/>
                <w:rtl w:val="0"/>
                <w:lang w:val="it-IT"/>
              </w:rPr>
              <w:t xml:space="preserve">è </w:t>
            </w:r>
            <w:r>
              <w:rPr>
                <w:sz w:val="28"/>
                <w:szCs w:val="28"/>
                <w:rtl w:val="0"/>
                <w:lang w:val="it-IT"/>
              </w:rPr>
              <w:t>possibile visionare al seguente link:</w:t>
            </w:r>
            <w:r>
              <w:rPr>
                <w:sz w:val="28"/>
                <w:szCs w:val="28"/>
                <w:rtl w:val="0"/>
              </w:rPr>
              <w:t xml:space="preserve"> </w:t>
            </w:r>
            <w:r>
              <w:rPr>
                <w:rStyle w:val="Hyperlink.0"/>
                <w:sz w:val="28"/>
                <w:szCs w:val="28"/>
              </w:rPr>
              <w:fldChar w:fldCharType="begin" w:fldLock="0"/>
            </w:r>
            <w:r>
              <w:rPr>
                <w:rStyle w:val="Hyperlink.0"/>
                <w:sz w:val="28"/>
                <w:szCs w:val="28"/>
              </w:rPr>
              <w:instrText xml:space="preserve"> HYPERLINK "https://www.facebook.com/vivere.scienzemmffnn/videos/vb.1473852789551963/2193061724338442/?type=2&amp;theater"</w:instrText>
            </w:r>
            <w:r>
              <w:rPr>
                <w:rStyle w:val="Hyperlink.0"/>
                <w:sz w:val="28"/>
                <w:szCs w:val="28"/>
              </w:rPr>
              <w:fldChar w:fldCharType="separate" w:fldLock="0"/>
            </w:r>
            <w:r>
              <w:rPr>
                <w:rStyle w:val="Hyperlink.0"/>
                <w:sz w:val="28"/>
                <w:szCs w:val="28"/>
                <w:rtl w:val="0"/>
                <w:lang w:val="it-IT"/>
              </w:rPr>
              <w:t>https://www.facebook.com/vivere.scienzemmffnn/videos/vb.1473852789551963/2193061724338442/?type=2&amp;theater</w:t>
            </w:r>
            <w:r>
              <w:rPr>
                <w:sz w:val="28"/>
                <w:szCs w:val="28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sz w:val="28"/>
                <w:szCs w:val="28"/>
                <w:rtl w:val="0"/>
                <w:lang w:val="it-IT"/>
              </w:rPr>
              <w:t>Budget complessivo utilizzato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3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(di cui) finanziamenti esterni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65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Impatto stimato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it-IT"/>
              </w:rPr>
              <w:t>Numero partecipanti, visualizzazioni su siti web, etc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Un centinaio di partecipanti e circa 1145 visualizzazioni del video al link qui sotto.</w:t>
            </w:r>
          </w:p>
        </w:tc>
      </w:tr>
      <w:tr>
        <w:tblPrEx>
          <w:shd w:val="clear" w:color="auto" w:fill="d0ddef"/>
        </w:tblPrEx>
        <w:trPr>
          <w:trHeight w:val="97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Link a siti web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instrText xml:space="preserve"> HYPERLINK "https://www.facebook.com/vivere.scienzemmffnn/videos/vb.1473852789551963/2193061724338442/?type=2&amp;theater"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</w:rPr>
              <w:fldChar w:fldCharType="separate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563c1"/>
                <w:spacing w:val="0"/>
                <w:kern w:val="0"/>
                <w:position w:val="0"/>
                <w:sz w:val="28"/>
                <w:szCs w:val="28"/>
                <w:u w:val="single" w:color="0563c1"/>
                <w:vertAlign w:val="baseline"/>
                <w:rtl w:val="0"/>
                <w:lang w:val="it-IT"/>
              </w:rPr>
              <w:t>https://www.facebook.com/vivere.scienzemmffnn/videos/vb.1473852789551963/2193061724338442/?type=2&amp;theater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fldChar w:fldCharType="end" w:fldLock="0"/>
            </w:r>
          </w:p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71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rPr>
                <w:b w:val="1"/>
                <w:bCs w:val="1"/>
                <w:sz w:val="28"/>
                <w:szCs w:val="28"/>
              </w:rPr>
            </w:pPr>
            <w:r>
              <w:rPr>
                <w:b w:val="1"/>
                <w:bCs w:val="1"/>
                <w:sz w:val="28"/>
                <w:szCs w:val="28"/>
                <w:rtl w:val="0"/>
                <w:lang w:val="it-IT"/>
              </w:rPr>
              <w:t>Locandina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1"/>
                <w:iCs w:val="1"/>
                <w:sz w:val="24"/>
                <w:szCs w:val="24"/>
                <w:rtl w:val="0"/>
                <w:lang w:val="it-IT"/>
              </w:rPr>
              <w:t>In caso affermativo allegare copia o indicare link/download</w:t>
            </w:r>
          </w:p>
        </w:tc>
        <w:tc>
          <w:tcPr>
            <w:tcW w:type="dxa" w:w="713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8"/>
                <w:szCs w:val="28"/>
                <w:u w:val="none" w:color="000000"/>
                <w:vertAlign w:val="baseline"/>
                <w:rtl w:val="0"/>
              </w:rPr>
              <w:t>Allegata</w:t>
            </w:r>
          </w:p>
        </w:tc>
      </w:tr>
    </w:tbl>
    <w:p>
      <w:pPr>
        <w:pStyle w:val="Normal.0"/>
        <w:widowControl w:val="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  <w:rPr>
          <w:sz w:val="24"/>
          <w:szCs w:val="24"/>
        </w:rPr>
      </w:pPr>
    </w:p>
    <w:p>
      <w:pPr>
        <w:pStyle w:val="Normal.0"/>
        <w:spacing w:after="0" w:line="240" w:lineRule="auto"/>
      </w:pPr>
      <w:r>
        <w:rPr>
          <w:sz w:val="24"/>
          <w:szCs w:val="24"/>
        </w:rPr>
      </w:r>
    </w:p>
    <w:sectPr>
      <w:headerReference w:type="default" r:id="rId4"/>
      <w:footerReference w:type="default" r:id="rId5"/>
      <w:pgSz w:w="16840" w:h="11900" w:orient="landscape"/>
      <w:pgMar w:top="851" w:right="1417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