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277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4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di Public Engagement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senza scopo di lucro con valore educativo, culturale e di sviluppo della societ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, rivolte al pubblico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Docente Responsabile scientifico</w:t>
            </w:r>
          </w:p>
        </w:tc>
      </w:tr>
      <w:tr>
        <w:tblPrEx>
          <w:shd w:val="clear" w:color="auto" w:fill="d0ddef"/>
        </w:tblPrEx>
        <w:trPr>
          <w:trHeight w:val="7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Nome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rtl w:val="0"/>
                <w:lang w:val="it-IT"/>
              </w:rPr>
              <w:t>Tiziana Di Salvo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FIS/05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Eventuali Docenti partecipanti</w:t>
            </w:r>
          </w:p>
        </w:tc>
      </w:tr>
      <w:tr>
        <w:tblPrEx>
          <w:shd w:val="clear" w:color="auto" w:fill="d0ddef"/>
        </w:tblPrEx>
        <w:trPr>
          <w:trHeight w:val="12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Data di svolgimento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dal gg/mm/aaaa    al gg/mm/aaaa    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27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05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 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27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05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__  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Titolo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Seminario: Quando la Gravit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à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non ha limiti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Obiettivi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Divulgazione Scientifica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Soggetti coinvolti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Altri Dipartimenti, Enti Pubblici o privati, Istituzioni, Associazioni etc. partner dell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DiFC, Associazione studentesca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AISF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”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Destinatari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Fruitori del bene pubblico prodotto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Studenti o pubblico interessato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13006"/>
      </w:tblGrid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Categoria o categorie in cui rientra 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Sono possibili risposte multiple: selezionare la/le voci con una 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X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” 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divulgative firmate dallo staff docente a livello nazionale o internazionale;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(cartacee e digitali) dedicate al pubblico esterno (ad es. magazine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universit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partecipazioni dello staff docente a trasmissioni radiotelevisive a livello nazionale o internazionale;</w:t>
            </w:r>
          </w:p>
        </w:tc>
      </w:tr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partecipazioni attive a incontri pubblici organizzati da altri soggetti (es. caff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scientifici, festival, fiere scientifiche, ecc.);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partecipazione alla formulazione di programmi di pubblico interesse (policy-making);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partecipazione a comitati per la definizione di standard e norme tecniche;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eventi pubblici (es. Notte dei Ricercatori, open day);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concerti, mostre, esposizioni e altri eventi di pubblica utilit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aperti alla comunit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tutela della salute (es. giornate informative e di prevenzione);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in collaborazione con enti per progetti di sviluppo urbano o valorizzazione del territorio;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orientamento e interazione con le scuole superiori;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divulgative rivolte a bambini e giovani;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democrazia partecipativa (es. consensus conferences, citizen panel);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giornate organizzate di formazione alla comunicazione (rivolta a PTA o docenti);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siti web interattivi e/o divulgativi, blog;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fruizione da parte della comunit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di musei, ospedali, impianti sportivi, biblioteche, teatri, edifici storici universitari;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altro: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1875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Breve descrizione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(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500 battute max</w:t>
            </w:r>
            <w:r>
              <w:rPr>
                <w:sz w:val="24"/>
                <w:szCs w:val="24"/>
                <w:rtl w:val="0"/>
                <w:lang w:val="it-IT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Seminario tecnico/divulgativo sull</w:t>
            </w:r>
            <w:r>
              <w:rPr>
                <w:sz w:val="28"/>
                <w:szCs w:val="28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rtl w:val="0"/>
                <w:lang w:val="it-IT"/>
              </w:rPr>
              <w:t>Astrofisica degli oggetti compatti, buchi neri e stelle di neutroni. Sono state illustrate le principali tecniche di analisi dei dati e i pi</w:t>
            </w:r>
            <w:r>
              <w:rPr>
                <w:sz w:val="28"/>
                <w:szCs w:val="28"/>
                <w:rtl w:val="0"/>
                <w:lang w:val="it-IT"/>
              </w:rPr>
              <w:t xml:space="preserve">ù </w:t>
            </w:r>
            <w:r>
              <w:rPr>
                <w:sz w:val="28"/>
                <w:szCs w:val="28"/>
                <w:rtl w:val="0"/>
                <w:lang w:val="it-IT"/>
              </w:rPr>
              <w:t>importanti risultati della ricerca ottenuti in questo campo.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sz w:val="28"/>
                <w:szCs w:val="28"/>
                <w:rtl w:val="0"/>
                <w:lang w:val="it-IT"/>
              </w:rPr>
              <w:t>Budget complessivo utilizzato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(di cui) finanziamenti esterni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Impatto stimato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Numero partecipanti, visualizzazioni su siti web, etc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Una cinquantina di partecipanti.</w:t>
            </w:r>
          </w:p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Link a siti web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instrText xml:space="preserve"> HYPERLINK "http://www.unipa.it/dipartimenti/difc/Ciclo-di-seminari/"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  <w:lang w:val="en-US"/>
              </w:rPr>
              <w:t>http://www.unipa.it/dipartimenti/difc/Ciclo-di-seminari/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Locandina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 caso affermativo allegare copia o indicare link/download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instrText xml:space="preserve"> HYPERLINK "http://www.unipa.it/dipartimenti/difc/.content/documenti/Seminari/posterFinNOUNIPA.pdf"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  <w:lang w:val="en-US"/>
              </w:rPr>
              <w:t>http://www.unipa.it/dipartimenti/difc/.content/documenti/Seminari/posterFinNOUNIPA.pdf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6840" w:h="11900" w:orient="landscape"/>
      <w:pgMar w:top="851" w:right="141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